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w:t>
      </w:r>
    </w:p>
    <w:p>
      <w:r>
        <w:rPr>
          <w:sz w:val="18"/>
        </w:rPr>
        <w:t>整理归属  广东省教育考试院</w:t>
      </w:r>
    </w:p>
    <w:p>
      <w:r>
        <w:rPr>
          <w:sz w:val="18"/>
        </w:rPr>
        <w:t>发布日期  2024-06-08</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https://eea.gd.gov.cn/news/content/post_4437732.html</w:t>
        </w:r>
      </w:hyperlink>
    </w:p>
    <w:p/>
    <w:p>
      <w:r>
        <w:t>新华社北京6月7日电 国务院总理李强6月7日主持召开国务院常务会议，研究促进创业投资高质量发展的政策举措，听取关于当前房地产市场形势和下一步构建房地产发展新模式有关工作考虑的汇报，审议通过《关于健全基本医疗保险参保长效机制的指导意见》和《国务院关于实施〈中华人民共和国公司法〉注册资本登记管理制度的规定（草案）》，讨论《中华人民共和国突发公共卫生事件应对法（草案）》。</w:t>
      </w:r>
    </w:p>
    <w:p>
      <w:r>
        <w:t>会议指出，发展创业投资是促进科技、产业、金融良性循环的重要举措。要围绕“募投管退”全链条优化支持政策，鼓励保险资金、社保基金等开展长期投资，积极吸引外资创投基金，拓宽退出渠道，完善并购重组、份额转让等政策，营造支持创业投资发展的良好生态。要针对创业投资特点实施差异化监管，落细税收优惠政策，支持专业性机构发展，处理好政府性基金和市场化基金关系，充分发挥创业投资投早、投小、投硬科技作用。</w:t>
      </w:r>
    </w:p>
    <w:p>
      <w:r>
        <w:t>会议指出，房地产业发展关系人民群众切身利益，关系经济运行和金融稳定大局。要充分认识房地产市场供求关系的新变化，顺应人民群众对优质住房的新期待，着力推动已出台政策措施落地见效，继续研究储备新的去库存、稳市场政策措施。对于存量房产、土地的消化、盘活等工作既要解放思想、拓宽思路，又要稳妥把握、扎实推进。要加快构建房地产发展新模式，完善“市场+保障”住房供应体系，改革相关基础性制度，促进房地产市场平稳健康发展。</w:t>
      </w:r>
    </w:p>
    <w:p>
      <w:r>
        <w:t>会议指出，我国已建成全世界最大、覆盖全民的基本医疗保障网，要持续优化参保结构、提高参保质量。要进一步放开放宽参保户籍限制、放宽职工医保个人账户共济范围，建立连续参保、基金零报销激励机制，设置固定等待期和变动等待期，改进医保管理和医疗服务，切实增强群众参保获得感、就医便利度。</w:t>
      </w:r>
    </w:p>
    <w:p>
      <w:r>
        <w:t>会议指出，完善注册资本登记管理制度，是落实新修订公司法要求、优化营商环境的需要。要稳妥推进存量公司出资期限调整等政策落地，指导公司规范股东依法履行出资义务，优化登记注册服务，做好政策宣传解读，持续打造一流营商环境。</w:t>
      </w:r>
    </w:p>
    <w:p>
      <w:r>
        <w:t>会议讨论并原则通过《中华人民共和国突发公共卫生事件应对法（草案）》，决定将草案提请全国人大常委会审议。</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377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