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2024年我省普通专升本怎样划定分数线？</w:t>
      </w:r>
    </w:p>
    <w:p>
      <w:r>
        <w:rPr>
          <w:sz w:val="18"/>
        </w:rPr>
        <w:t>整理归属  广东省教育考试院</w:t>
      </w:r>
    </w:p>
    <w:p>
      <w:r>
        <w:rPr>
          <w:sz w:val="18"/>
        </w:rPr>
        <w:t>发布日期  2023-12-29</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https://eea.gd.gov.cn/dawenku/ksbk/content/post_4324357.html</w:t>
        </w:r>
      </w:hyperlink>
    </w:p>
    <w:p/>
    <w:p>
      <w:r>
        <w:t>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和专业综合课两条最低控制分数线。</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3243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