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关于下达广东省2012年各类成人高校招生录取最低控制分数线的通知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2012-11-19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https://eea.gd.gov.cn/tzgg/content/post_2218439.html</w:t>
        </w:r>
      </w:hyperlink>
    </w:p>
    <w:p/>
    <w:p>
      <w:r>
        <w:t>各地级以上市及顺德区招生委员会，各普通高等学校、成人高等学校：</w:t>
      </w:r>
    </w:p>
    <w:p>
      <w:r>
        <w:t>经研究决定，2012年广东省各类成人高校招生各批次录取最低控制分数线（文化课总分）如下：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理工类、经管类、农学类、理工医学类、文史类、</w:t>
      </w:r>
    </w:p>
    <w:p>
      <w:r>
        <w:t>中医类、法学类、教育类： 130分</w:t>
      </w:r>
    </w:p>
    <w:p>
      <w:r>
        <w:t>体育类、艺术类： 100分</w:t>
      </w:r>
    </w:p>
    <w:p>
      <w:r>
        <w:t>（二）高中起点本科</w:t>
      </w:r>
    </w:p>
    <w:p>
      <w:r>
        <w:t>理工类、文史类、外语类： 280分</w:t>
      </w:r>
    </w:p>
    <w:p>
      <w:r>
        <w:t>体育类、艺术类： 180分</w:t>
      </w:r>
    </w:p>
    <w:p>
      <w:r>
        <w:t>二、第二批录取院校（高中起点专科脱产班）</w:t>
      </w:r>
    </w:p>
    <w:p>
      <w:r>
        <w:t>理工类、文史类、外语类： 150分</w:t>
      </w:r>
    </w:p>
    <w:p>
      <w:r>
        <w:t>艺术类： 120分</w:t>
      </w:r>
    </w:p>
    <w:p>
      <w:r>
        <w:t>三、第三批录取院校（高中起点专科函授、业余班）</w:t>
      </w:r>
    </w:p>
    <w:p>
      <w:r>
        <w:t>理工类、文史类、外语类： 130分</w:t>
      </w:r>
    </w:p>
    <w:p>
      <w:r>
        <w:t>体育类、艺术类： 105分</w:t>
      </w:r>
    </w:p>
    <w:p>
      <w:r>
        <w:t>二○一二年十一月十六日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4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