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广东省2026年普通高校招生艺术类专业省统考科目考试要求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2025-10-27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https://szeb.sz.gov.cn/szzkw/qt/tzgg/content/post_12456973.html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https://szeb.sz.gov.cn/szzkw/zkgg/gkxx/content/post_12456963.html</w:t>
        </w:r>
      </w:hyperlink>
    </w:p>
    <w:p/>
    <w:p>
      <w:r>
        <w:t>为做好我省2026年普通高校艺术类专业考试招生工作，根据相关文件精神，结合教育部教育考试院相关要求和我省实际，我院对部分科目考试要求作了进一步明确。《广东省2026年普通高校招生艺术类专业省统考科目考试要求》详见附件。</w:t>
      </w:r>
    </w:p>
    <w:p>
      <w:r>
        <w:t>识别下方二维码可查阅附件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b8d5ea794147bd6220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（来源：广东省教育考试院）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456973.html" TargetMode="External"/><Relationship Id="rId11" Type="http://schemas.openxmlformats.org/officeDocument/2006/relationships/hyperlink" Target="https://szeb.sz.gov.cn/szzkw/zkgg/gkxx/content/post_12456963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