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关于做好广东省2024年普通高校招收中等职业学校毕业生统一考试招生工作的通知</w:t>
      </w:r>
    </w:p>
    <w:p>
      <w:r>
        <w:rPr>
          <w:sz w:val="18"/>
        </w:rPr>
        <w:t>整理归属  广东省教育考试院</w:t>
      </w:r>
    </w:p>
    <w:p>
      <w:r>
        <w:rPr>
          <w:sz w:val="18"/>
        </w:rPr>
        <w:t>发布日期  2023-10-07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https://eea.gd.gov.cn/ptgk/content/post_4262500.html</w:t>
        </w:r>
      </w:hyperlink>
    </w:p>
    <w:p>
      <w:r>
        <w:t xml:space="preserve">同文来源  </w:t>
      </w:r>
      <w:hyperlink r:id="rId11">
        <w:r>
          <w:rPr>
            <w:color w:val="18548A"/>
          </w:rPr>
          <w:t>https://eea.gd.gov.cn/tzgg/content/post_4262499.html</w:t>
        </w:r>
      </w:hyperlink>
    </w:p>
    <w:p/>
    <w:p>
      <w:r>
        <w:t>各地级以上市招生委员会、教育局，各普通高校，各省属中等职业学校：</w:t>
      </w:r>
    </w:p>
    <w:p>
      <w:r>
        <w:t>现就做好我省2024年普通高校招收中等职业学校毕业生“3+证书”考试招生有关工作通知如下：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2024年广东省普通高考报名资格的中等职业学校（含职业高中、中专、成人中专、技工学校、技师学院）应往届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要求详见省招生委员会《关于做好广东省2024年普通高校招生统一考试报名工作的通知》（粤招〔2023〕7号）。退役士兵考生须持身份证、退役证原件及复印件到安置地的地级市招生办领取考生号后进行网上报名。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须在规定时间内登录“广东省普通高校招生来源计划网上编制系统”，按照院校专业组编制招生计划，招生计划需具体公布到各专业，由省招生办汇总后在《广东省2024年普通高校春季高考统一招生专业目录（中职生版）》（简称“招生专业目录”）中公布。</w:t>
      </w:r>
    </w:p>
    <w:p>
      <w:r>
        <w:t>院校根据招生专业的证书要求、招生特征等，分成若干专业组。同一院校专业组内各专业的证书要求、招生特征须相同。同一专业只能在一个院校专业组中。</w:t>
      </w:r>
    </w:p>
    <w:p>
      <w:r>
        <w:t>高职院校招收退役士兵考生，计划单列、单独划线、单独录取。顺德职业技术学院等28所高职院校（详见附件2）安排招生计划招收退役士兵考生。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中高职贯通三二分段中职学段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条件要求被退档的，后果由考生承担。</w:t>
      </w:r>
    </w:p>
    <w:p>
      <w:r>
        <w:t>六、投档录取</w:t>
      </w:r>
    </w:p>
    <w:p>
      <w:r>
        <w:t>（一）最低控制分数线</w:t>
      </w:r>
    </w:p>
    <w:p>
      <w:r>
        <w:t>省招生委员会以统一文化科目考试（语文、数学、英语）总成绩，按招生计划一定比例确定各批次类别录取最低控制分数线。</w:t>
      </w:r>
    </w:p>
    <w:p>
      <w:r>
        <w:t>（二）录取批次和投档原则</w:t>
      </w:r>
    </w:p>
    <w:p>
      <w:r>
        <w:t>1.“3+证书”考试招生录取分本科批次和专科批次。本科批次录取结束后，专科批次才开始投档录取。</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原则，根据考生报考专业志愿和相关证书情况分档录取。</w:t>
      </w:r>
    </w:p>
    <w:p>
      <w:r>
        <w:t>4.退役士兵考生、内地西藏新疆中职班（含青海藏区生源）应届毕业生报考高职院校，分别单独划定最低录取分数线。各高职院校在省招生委员会划定的录取最低分数线上考生中，根据院校录取原则择优录取。</w:t>
      </w:r>
    </w:p>
    <w:p>
      <w:r>
        <w:t>5.自主就业的退役士兵、在服役期间荣立个人二等功（含）以上或被战区（原大军区，含）以上单位授予荣誉称号的退役军人，可在其文化课统考成绩总分的基础上增加5分投档。</w:t>
      </w:r>
    </w:p>
    <w:p>
      <w:r>
        <w:t>（三）征集志愿</w:t>
      </w:r>
    </w:p>
    <w:p>
      <w:r>
        <w:t>对专科批次招生院校未完成的招生计划，省招生办组织征集志愿录取。本科批次院校不进行征集志愿录取。</w:t>
      </w:r>
    </w:p>
    <w:p>
      <w:r>
        <w:t>七、时间安排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“3+证书”考试报名（与普通高考报名同期进行）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2024年1月（具体时间另文通知）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全省统一文化科目考试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考生填报志愿、高校进行招生录取</w:t>
            </w:r>
          </w:p>
        </w:tc>
      </w:tr>
    </w:tbl>
    <w:p/>
    <w:p>
      <w:r>
        <w:t>注：根据工作实际，以上时间安排如有调整，将另行通知</w:t>
      </w:r>
    </w:p>
    <w:p>
      <w:r>
        <w:t>八、工作要求</w:t>
      </w:r>
    </w:p>
    <w:p>
      <w:r>
        <w:t>（一）加强组织领导，落实工作责任。各级教育行政部门、招考机构要高度重视，加强组织领导，抓好责任落实。各地、各中职学校要做好宣传动员工作，动员和鼓励有升学意向的学生积极报名、认真备考。各高校要按照教育部和省的统一部署，认真制定招生章程，明确录取原则，根据高级应用型技能人才培养的特点、要求和规律，科学合理确定招生专业对应的证书要求。</w:t>
      </w:r>
    </w:p>
    <w:p>
      <w:r>
        <w:t>（二）规范招生行为，维护公平公正。各高校要精心组织实施，确保各环节有章可循、有据可依。各高校不得组织与招生录取挂钩的有关培训，不得为吸引生源而降低应用型人才选拔和培养标准。本科层次高校要切实做好招生工作方案制定以及职业技能考核测试考试说明公布、报名、资格审核、组考及评卷等工作，切实加强安全保密管理。命题工作要按照秘密级别管理。要加强考务工作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（三）认真总结经验，稳步推进改革。各级教育部门、招生考试机构和有关高校、中等职业学校要总结经验，及时反馈存在的问题和不足，促使各项政策措施不断完善，保障改革工作稳步有序推进。</w:t>
      </w:r>
    </w:p>
    <w:p>
      <w:r>
        <w:t>请各级教育行政部门速将本通知发至所辖各有关中等职业学校。</w:t>
      </w:r>
    </w:p>
    <w:p>
      <w:r>
        <w:t>附件：1.2024年“3+证书”考试技能证书目录</w:t>
      </w:r>
    </w:p>
    <w:p>
      <w:r>
        <w:t>2.广东省2024年“3+证书”考试招收退役士兵院校一览表</w:t>
      </w:r>
    </w:p>
    <w:p>
      <w:r>
        <w:t>广东省招生委员会办公室</w:t>
      </w:r>
    </w:p>
    <w:p>
      <w:r>
        <w:t>2023年9月28日</w:t>
      </w:r>
    </w:p>
    <w:p>
      <w:pPr>
        <w:keepNext/>
      </w:pPr>
      <w:r>
        <w:t>原图分页 1/3</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e3b18736c0655fa6f47e2a2b02f51d01408aab88-000.png"/>
                    <pic:cNvPicPr/>
                  </pic:nvPicPr>
                  <pic:blipFill>
                    <a:blip r:embed="rId12"/>
                    <a:stretch>
                      <a:fillRect/>
                    </a:stretch>
                  </pic:blipFill>
                  <pic:spPr>
                    <a:xfrm>
                      <a:off x="0" y="0"/>
                      <a:ext cx="6400799" cy="3807407"/>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799" cy="8151238"/>
            <wp:docPr id="2" name="Picture 2"/>
            <wp:cNvGraphicFramePr>
              <a:graphicFrameLocks noChangeAspect="1"/>
            </wp:cNvGraphicFramePr>
            <a:graphic>
              <a:graphicData uri="http://schemas.openxmlformats.org/drawingml/2006/picture">
                <pic:pic>
                  <pic:nvPicPr>
                    <pic:cNvPr id="0" name="e3b18736c0655fa6f47e2a2b02f51d01408aab88-001.png"/>
                    <pic:cNvPicPr/>
                  </pic:nvPicPr>
                  <pic:blipFill>
                    <a:blip r:embed="rId13"/>
                    <a:stretch>
                      <a:fillRect/>
                    </a:stretch>
                  </pic:blipFill>
                  <pic:spPr>
                    <a:xfrm>
                      <a:off x="0" y="0"/>
                      <a:ext cx="6400799" cy="8151238"/>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799" cy="4214767"/>
            <wp:docPr id="3" name="Picture 3"/>
            <wp:cNvGraphicFramePr>
              <a:graphicFrameLocks noChangeAspect="1"/>
            </wp:cNvGraphicFramePr>
            <a:graphic>
              <a:graphicData uri="http://schemas.openxmlformats.org/drawingml/2006/picture">
                <pic:pic>
                  <pic:nvPicPr>
                    <pic:cNvPr id="0" name="e3b18736c0655fa6f47e2a2b02f51d01408aab88-002.png"/>
                    <pic:cNvPicPr/>
                  </pic:nvPicPr>
                  <pic:blipFill>
                    <a:blip r:embed="rId14"/>
                    <a:stretch>
                      <a:fillRect/>
                    </a:stretch>
                  </pic:blipFill>
                  <pic:spPr>
                    <a:xfrm>
                      <a:off x="0" y="0"/>
                      <a:ext cx="6400799" cy="421476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62500.html" TargetMode="External"/><Relationship Id="rId11" Type="http://schemas.openxmlformats.org/officeDocument/2006/relationships/hyperlink" Target="https://eea.gd.gov.cn/tzgg/content/post_426249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