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深圳市招生考试办公室关于2022年4月我市自学考试报名报考工作的通知</w:t>
      </w:r>
    </w:p>
    <w:p>
      <w:r>
        <w:rPr>
          <w:sz w:val="18"/>
        </w:rPr>
        <w:t>整理归属  深圳市招生考试办公室</w:t>
      </w:r>
    </w:p>
    <w:p>
      <w:r>
        <w:rPr>
          <w:sz w:val="18"/>
        </w:rPr>
        <w:t>发布日期  2022-02-23</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https://szeb.sz.gov.cn/szzkw/zkgg/zkxx1/content/post_9586420.html</w:t>
        </w:r>
      </w:hyperlink>
    </w:p>
    <w:p/>
    <w:p>
      <w:r>
        <w:t>各自考考生：</w:t>
      </w:r>
    </w:p>
    <w:p>
      <w:r>
        <w:t>我省2022年4月自学考试将于4月16日至17日(周六、日)进行。现将本次报名报考有关事项通知如下：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新生预报名时间：2022年2月25日10:00至2月28日12:00；</w:t>
      </w:r>
    </w:p>
    <w:p>
      <w:r>
        <w:t>正式报名时间：2022年2月25日10:00至2月28日17:00。</w:t>
      </w:r>
    </w:p>
    <w:p>
      <w:r>
        <w:t>（二）报考时间</w:t>
      </w:r>
    </w:p>
    <w:p>
      <w:r>
        <w:t>考生报考时间：2022年3月3日14:00至3月7日17:00；</w:t>
      </w:r>
    </w:p>
    <w:p>
      <w:r>
        <w:t>缴费时间：2022年3月4日10:00至3月7日17:00。</w:t>
      </w:r>
    </w:p>
    <w:p>
      <w:r>
        <w:t>三、报名报考手续</w:t>
      </w:r>
    </w:p>
    <w:p>
      <w:r>
        <w:t>首次参加自学考试的新考生须先办理新生报名手续，然后才可选择课程报考；已进行过新生报名取得准考证号且个人信息完整的考生可直接报考（报名报考操作流程详见附件2）。</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通过广东省教育考试院官方微信（ID：gdsksy）小程序进行正式报名，具体操作可参考附件3。正式报名成功后将获得唯一准考证号，所有考生务必牢记。考生身份验证过程中采集的证件照是考生在自学考试管理系统中的存档照片，将用于准考证，合格证等自考业务。</w:t>
      </w:r>
    </w:p>
    <w:p>
      <w:r>
        <w:t>3.报名注意事项</w:t>
      </w:r>
    </w:p>
    <w:p>
      <w:r>
        <w:t>（1）预报名时，请在网页端正确填写报名信息（姓名、身份证号、出生年月等），如填写有误，将会导致省考试院小程序人脸识别不通过。信息有误的考生请在预报名期间自行进行更正。</w:t>
      </w:r>
    </w:p>
    <w:p>
      <w:r>
        <w:t>（2）正确绑定本人手机号，不要随意借用他人手机号，绑定有误的将会影响报考课程。</w:t>
      </w:r>
    </w:p>
    <w:p>
      <w:r>
        <w:t>（3）因面容特征变化等原因无法线上报名或报名信息（含照片）未能通过审核的考生，应及时联系当地考办并按指定途径完成正式报名，3月2日后不予受理。</w:t>
      </w:r>
    </w:p>
    <w:p>
      <w:r>
        <w:t>（二）考生报考</w:t>
      </w:r>
    </w:p>
    <w:p>
      <w:r>
        <w:t>所有考生均须在报考前先注册“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我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各市自考办联系。考生应避免在最后时间报考课程和缴费，以免因停电、网络堵塞等原因导致错过报考和缴费。</w:t>
      </w:r>
    </w:p>
    <w:p>
      <w:r>
        <w:t>（三）根据《关于加强我省高等教育自学考试考生信息采集工作的通知》（粤考办〔2018〕11号）要求，在广东省自学考试管理系统中无相片的考生,须在新生报名期间，本人持有效身份证到我办一楼招考服务大厅进行补摄像后，方可报考。其他信息，如身份证号和姓名为空等情况的考生，请持本人相关证明材料到市招考办及时完善个人相关信息，省考办审核通过后方可报考。</w:t>
      </w:r>
    </w:p>
    <w:p>
      <w:r>
        <w:t>（四）考生报考2022年4月自学考试因故未能参加考试的，不纳入自学考试诚信报考档案，可按规定正常报考下一次自学考试。</w:t>
      </w:r>
    </w:p>
    <w:p>
      <w:r>
        <w:t>四、准考证的打印与使用</w:t>
      </w:r>
    </w:p>
    <w:p>
      <w:r>
        <w:t>考生须在考试开始前10天内登录广东省自学考试管理系统打印准考证。准考证上将载明考生参加当次各科考试的座位信息。准考证用普通A4纸打印，严禁伪造、变造或擅自涂改，严禁在准考证正反面做任何标记。正处于隔离医学观察治疗、集中隔离观察期的确诊病例、疑似病例、复检阳性人员、无症状感染者、确诊病例的密切接触者、次密切接触者以及居家隔离观察（健康监测）期间的考生，不得打印准考证。对于自行打印准考证有困难的考生可于考前一周至考试结束当天到我办打印（地址：罗湖区泥岗西路1068号一楼招考服务大厅，联系电话：82181999）。</w:t>
      </w:r>
    </w:p>
    <w:p>
      <w:r>
        <w:t>五、参加考试注意事项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和“粤康码”绿码及健康信息申报表参加考试。</w:t>
      </w:r>
    </w:p>
    <w:p>
      <w:r>
        <w:t>（二）所有考生必须自觉遵守我省高等教育自学考试考生防疫要求（附件5），严格遵守当地疫情防控各项规定和要求。考前14天考生应每天在“粤康码”中如实申报个人健康情况，如实填写考前14天个人健康信息申报表（附件6），并在接受考前检查时向考点工作人员提供。正处于隔离医学观察治疗、集中隔离观察期的确诊病例、疑似病例、复检阳性人员、无症状感染者、确诊病例的密切接触者、次密切接触者以及居家隔离观察（健康监测）期间的考生，不得参加考试。考前和考试中监测、检查发现身体状况异常的考生，经评估不具备参加考试条件的，不得参加考试。考生隐瞒身体异常情况，提供虚假信息，造成严重后果的，依法追究相关人员责任。</w:t>
      </w:r>
    </w:p>
    <w:p>
      <w:r>
        <w:t>（三）考生应随身准备口罩（一次性医用口罩或外科口罩）参加考试，按照当地自考办和考点的要求，配合做好疫情防控工作。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生要遵守防疫规定和要求，配合做好疫情防控工作，按要求提供健康证明材料。考试的疫情防控将根据新的要求进行动态管理，请考生在考前密切关注省教育考试院的官网、官微以及地市考办发布的信息。</w:t>
      </w:r>
    </w:p>
    <w:p>
      <w:r>
        <w:t>六、成绩公布与复核申请</w:t>
      </w:r>
    </w:p>
    <w:p>
      <w:r>
        <w:t>（一）成绩公布</w:t>
      </w:r>
    </w:p>
    <w:p>
      <w:r>
        <w:t>本次考试成绩预计在2022年5月15日左右公布，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（三）其他未尽事宜，请考生密切关注广东省教育考试院官方微信（微信号：gdsksy）和网站（网址：http://eea.gd.gov.cn）及深圳招考网发布的相关讯息。</w:t>
      </w:r>
    </w:p>
    <w:p>
      <w:r>
        <w:t>附件：1.2022年4月广东省自学考试各专业开考课程考试时间安排表（请站内搜索查看）</w:t>
      </w:r>
    </w:p>
    <w:p>
      <w:r>
        <w:t>2.广东省2022年4月高等教育自学考试报名报考流程图</w:t>
      </w:r>
    </w:p>
    <w:p>
      <w:r>
        <w:t>3.广东省2022年4月高等教育自学考试在线报名操作指引</w:t>
      </w:r>
    </w:p>
    <w:p>
      <w:r>
        <w:t>4.广东省高等教育自学考试电子相片采集标准</w:t>
      </w:r>
    </w:p>
    <w:p>
      <w:r>
        <w:t>5.广东省2022年4月自学考试考生防疫要求</w:t>
      </w:r>
    </w:p>
    <w:p>
      <w:r>
        <w:t>6.广东省高等教育自学考试健康信息申报表</w:t>
      </w:r>
    </w:p>
    <w:p>
      <w:r>
        <w:t>（市招考办咨询电话：0755-82181999）</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cbd5f358b200623384fa32680e5a935831ffbc29-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2" name="Picture 2"/>
            <wp:cNvGraphicFramePr>
              <a:graphicFrameLocks noChangeAspect="1"/>
            </wp:cNvGraphicFramePr>
            <a:graphic>
              <a:graphicData uri="http://schemas.openxmlformats.org/drawingml/2006/picture">
                <pic:pic>
                  <pic:nvPicPr>
                    <pic:cNvPr id="0" name="cbd5f358b200623384fa32680e5a935831ffbc29-001.png"/>
                    <pic:cNvPicPr/>
                  </pic:nvPicPr>
                  <pic:blipFill>
                    <a:blip r:embed="rId12"/>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394fd9292f0202e7f2109fe9e244f278b8d3f96d-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4" name="Picture 4"/>
            <wp:cNvGraphicFramePr>
              <a:graphicFrameLocks noChangeAspect="1"/>
            </wp:cNvGraphicFramePr>
            <a:graphic>
              <a:graphicData uri="http://schemas.openxmlformats.org/drawingml/2006/picture">
                <pic:pic>
                  <pic:nvPicPr>
                    <pic:cNvPr id="0" name="394fd9292f0202e7f2109fe9e244f278b8d3f96d-001.png"/>
                    <pic:cNvPicPr/>
                  </pic:nvPicPr>
                  <pic:blipFill>
                    <a:blip r:embed="rId14"/>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5" name="Picture 5"/>
            <wp:cNvGraphicFramePr>
              <a:graphicFrameLocks noChangeAspect="1"/>
            </wp:cNvGraphicFramePr>
            <a:graphic>
              <a:graphicData uri="http://schemas.openxmlformats.org/drawingml/2006/picture">
                <pic:pic>
                  <pic:nvPicPr>
                    <pic:cNvPr id="0" name="b626331ef155fa1938216fcbfc54e4e3a3746449-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6" name="Picture 6"/>
            <wp:cNvGraphicFramePr>
              <a:graphicFrameLocks noChangeAspect="1"/>
            </wp:cNvGraphicFramePr>
            <a:graphic>
              <a:graphicData uri="http://schemas.openxmlformats.org/drawingml/2006/picture">
                <pic:pic>
                  <pic:nvPicPr>
                    <pic:cNvPr id="0" name="b626331ef155fa1938216fcbfc54e4e3a3746449-001.png"/>
                    <pic:cNvPicPr/>
                  </pic:nvPicPr>
                  <pic:blipFill>
                    <a:blip r:embed="rId16"/>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7" name="Picture 7"/>
            <wp:cNvGraphicFramePr>
              <a:graphicFrameLocks noChangeAspect="1"/>
            </wp:cNvGraphicFramePr>
            <a:graphic>
              <a:graphicData uri="http://schemas.openxmlformats.org/drawingml/2006/picture">
                <pic:pic>
                  <pic:nvPicPr>
                    <pic:cNvPr id="0" name="78b36090c899e8173462aae8c2af864e312c750c-000.png"/>
                    <pic:cNvPicPr/>
                  </pic:nvPicPr>
                  <pic:blipFill>
                    <a:blip r:embed="rId1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8" name="Picture 8"/>
            <wp:cNvGraphicFramePr>
              <a:graphicFrameLocks noChangeAspect="1"/>
            </wp:cNvGraphicFramePr>
            <a:graphic>
              <a:graphicData uri="http://schemas.openxmlformats.org/drawingml/2006/picture">
                <pic:pic>
                  <pic:nvPicPr>
                    <pic:cNvPr id="0" name="78b36090c899e8173462aae8c2af864e312c750c-001.png"/>
                    <pic:cNvPicPr/>
                  </pic:nvPicPr>
                  <pic:blipFill>
                    <a:blip r:embed="rId18"/>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9" name="Picture 9"/>
            <wp:cNvGraphicFramePr>
              <a:graphicFrameLocks noChangeAspect="1"/>
            </wp:cNvGraphicFramePr>
            <a:graphic>
              <a:graphicData uri="http://schemas.openxmlformats.org/drawingml/2006/picture">
                <pic:pic>
                  <pic:nvPicPr>
                    <pic:cNvPr id="0" name="0a15da12ea49d55c9f2c468ea40a6a573ced5fd4-000.png"/>
                    <pic:cNvPicPr/>
                  </pic:nvPicPr>
                  <pic:blipFill>
                    <a:blip r:embed="rId19"/>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0" name="Picture 10"/>
            <wp:cNvGraphicFramePr>
              <a:graphicFrameLocks noChangeAspect="1"/>
            </wp:cNvGraphicFramePr>
            <a:graphic>
              <a:graphicData uri="http://schemas.openxmlformats.org/drawingml/2006/picture">
                <pic:pic>
                  <pic:nvPicPr>
                    <pic:cNvPr id="0" name="0a15da12ea49d55c9f2c468ea40a6a573ced5fd4-001.png"/>
                    <pic:cNvPicPr/>
                  </pic:nvPicPr>
                  <pic:blipFill>
                    <a:blip r:embed="rId20"/>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1" name="Picture 11"/>
            <wp:cNvGraphicFramePr>
              <a:graphicFrameLocks noChangeAspect="1"/>
            </wp:cNvGraphicFramePr>
            <a:graphic>
              <a:graphicData uri="http://schemas.openxmlformats.org/drawingml/2006/picture">
                <pic:pic>
                  <pic:nvPicPr>
                    <pic:cNvPr id="0" name="38afb2c9de078c7901f9d30de258a98314fa3939-000.png"/>
                    <pic:cNvPicPr/>
                  </pic:nvPicPr>
                  <pic:blipFill>
                    <a:blip r:embed="rId2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2" name="Picture 12"/>
            <wp:cNvGraphicFramePr>
              <a:graphicFrameLocks noChangeAspect="1"/>
            </wp:cNvGraphicFramePr>
            <a:graphic>
              <a:graphicData uri="http://schemas.openxmlformats.org/drawingml/2006/picture">
                <pic:pic>
                  <pic:nvPicPr>
                    <pic:cNvPr id="0" name="38afb2c9de078c7901f9d30de258a98314fa3939-001.png"/>
                    <pic:cNvPicPr/>
                  </pic:nvPicPr>
                  <pic:blipFill>
                    <a:blip r:embed="rId22"/>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3" name="Picture 13"/>
            <wp:cNvGraphicFramePr>
              <a:graphicFrameLocks noChangeAspect="1"/>
            </wp:cNvGraphicFramePr>
            <a:graphic>
              <a:graphicData uri="http://schemas.openxmlformats.org/drawingml/2006/picture">
                <pic:pic>
                  <pic:nvPicPr>
                    <pic:cNvPr id="0" name="71b08a53b7a29d1ec629bb06e5d6ac335f4ccef3-000.png"/>
                    <pic:cNvPicPr/>
                  </pic:nvPicPr>
                  <pic:blipFill>
                    <a:blip r:embed="rId2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4" name="Picture 14"/>
            <wp:cNvGraphicFramePr>
              <a:graphicFrameLocks noChangeAspect="1"/>
            </wp:cNvGraphicFramePr>
            <a:graphic>
              <a:graphicData uri="http://schemas.openxmlformats.org/drawingml/2006/picture">
                <pic:pic>
                  <pic:nvPicPr>
                    <pic:cNvPr id="0" name="71b08a53b7a29d1ec629bb06e5d6ac335f4ccef3-001.png"/>
                    <pic:cNvPicPr/>
                  </pic:nvPicPr>
                  <pic:blipFill>
                    <a:blip r:embed="rId24"/>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5" name="Picture 15"/>
            <wp:cNvGraphicFramePr>
              <a:graphicFrameLocks noChangeAspect="1"/>
            </wp:cNvGraphicFramePr>
            <a:graphic>
              <a:graphicData uri="http://schemas.openxmlformats.org/drawingml/2006/picture">
                <pic:pic>
                  <pic:nvPicPr>
                    <pic:cNvPr id="0" name="42c0a22e8384fb344071c4016519f0b4e4322703-000.png"/>
                    <pic:cNvPicPr/>
                  </pic:nvPicPr>
                  <pic:blipFill>
                    <a:blip r:embed="rId2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6" name="Picture 16"/>
            <wp:cNvGraphicFramePr>
              <a:graphicFrameLocks noChangeAspect="1"/>
            </wp:cNvGraphicFramePr>
            <a:graphic>
              <a:graphicData uri="http://schemas.openxmlformats.org/drawingml/2006/picture">
                <pic:pic>
                  <pic:nvPicPr>
                    <pic:cNvPr id="0" name="42c0a22e8384fb344071c4016519f0b4e4322703-001.png"/>
                    <pic:cNvPicPr/>
                  </pic:nvPicPr>
                  <pic:blipFill>
                    <a:blip r:embed="rId26"/>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7" name="Picture 17"/>
            <wp:cNvGraphicFramePr>
              <a:graphicFrameLocks noChangeAspect="1"/>
            </wp:cNvGraphicFramePr>
            <a:graphic>
              <a:graphicData uri="http://schemas.openxmlformats.org/drawingml/2006/picture">
                <pic:pic>
                  <pic:nvPicPr>
                    <pic:cNvPr id="0" name="807a61b9fc8a4a1040d41fe7b5945cae346f080e-000.png"/>
                    <pic:cNvPicPr/>
                  </pic:nvPicPr>
                  <pic:blipFill>
                    <a:blip r:embed="rId2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8" name="Picture 18"/>
            <wp:cNvGraphicFramePr>
              <a:graphicFrameLocks noChangeAspect="1"/>
            </wp:cNvGraphicFramePr>
            <a:graphic>
              <a:graphicData uri="http://schemas.openxmlformats.org/drawingml/2006/picture">
                <pic:pic>
                  <pic:nvPicPr>
                    <pic:cNvPr id="0" name="807a61b9fc8a4a1040d41fe7b5945cae346f080e-001.png"/>
                    <pic:cNvPicPr/>
                  </pic:nvPicPr>
                  <pic:blipFill>
                    <a:blip r:embed="rId28"/>
                    <a:stretch>
                      <a:fillRect/>
                    </a:stretch>
                  </pic:blipFill>
                  <pic:spPr>
                    <a:xfrm>
                      <a:off x="0" y="0"/>
                      <a:ext cx="6400800" cy="5240654"/>
                    </a:xfrm>
                    <a:prstGeom prst="rect"/>
                  </pic:spPr>
                </pic:pic>
              </a:graphicData>
            </a:graphic>
          </wp:inline>
        </w:drawing>
      </w:r>
    </w:p>
    <w:p>
      <w:r>
        <w:t>附件2-6.docx</w:t>
      </w:r>
    </w:p>
    <w:p>
      <w:pPr>
        <w:pStyle w:val="Heading1"/>
      </w:pPr>
      <w:r>
        <w:t>附件及下载链接</w:t>
      </w:r>
    </w:p>
    <w:p>
      <w:hyperlink r:id="rId29">
        <w:r>
          <w:rPr>
            <w:color w:val="18548A"/>
          </w:rPr>
          <w:t>附件2-6.docx</w:t>
        </w:r>
      </w:hyperlink>
    </w:p>
    <w:p>
      <w:r>
        <w:rPr>
          <w:sz w:val="16"/>
        </w:rPr>
        <w:t>https://szeb.sz.gov.cn/attachment/0/949/949601/9586420.docx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58642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hyperlink" Target="https://szeb.sz.gov.cn/attachment/0/949/949601/958642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