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成人高考专升本是否有脱产形式？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2023-05-31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https://eea.gd.gov.cn/dawenku/zcwj/content/post_4189909.html</w:t>
        </w:r>
      </w:hyperlink>
    </w:p>
    <w:p/>
    <w:p>
      <w:r>
        <w:t>成人高等学历教育的招生层次包括：专科起点升本科（以下简称专升本），高中起点升本科（以下简称高起本），高中起点升专科（以下简称高起专）。各学校根据相关规定可采用脱产、业余或函授形式进行成人高等学历教育，脱产最短学习时间为：高起本四年，高起专和专升本两年；业余和函授最短学习时间为：高起本五年，高起专和专升本两年半。敬请在报名前关注省教育考试院官网公布的成高招生专业目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18990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