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关于公布广东省2023年普通高考音乐、舞蹈和体育术科统考成绩的通知</w:t>
      </w:r>
    </w:p>
    <w:p>
      <w:r>
        <w:rPr>
          <w:sz w:val="18"/>
        </w:rPr>
        <w:t>整理归属  深圳市招生考试办公室</w:t>
      </w:r>
    </w:p>
    <w:p>
      <w:r>
        <w:rPr>
          <w:sz w:val="18"/>
        </w:rPr>
        <w:t>发布日期  2023-02-24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https://szeb.sz.gov.cn/szzkw/zkgg/gkxx/content/post_10446731.html</w:t>
        </w:r>
      </w:hyperlink>
    </w:p>
    <w:p/>
    <w:p>
      <w:r>
        <w:t>我省2023年普通高考音乐、舞蹈和体育术科统考评卷工作已经结束。现就音乐、舞蹈和体育术科统考成绩公布有关事项通知如下。</w:t>
      </w:r>
    </w:p>
    <w:p>
      <w:r>
        <w:t>一、成绩公布时间和方式</w:t>
      </w:r>
    </w:p>
    <w:p>
      <w:r>
        <w:t>2月24日16:00起，考生可通过广东省教育考试院官微（ID：gdsksy）小程序、百度智能小程序、“广东招考在线”小程序查询成绩。3月10日10:00起，考生可以通过广东省教育考试院官微小程序和百度智能小程序自行下载并打印音乐和舞蹈本科合格证和成绩证书。考生成绩公布方式见附件。</w:t>
      </w:r>
    </w:p>
    <w:p>
      <w:r>
        <w:t>二、成绩复核</w:t>
      </w:r>
    </w:p>
    <w:p>
      <w:r>
        <w:t>（一）申请复查程序</w:t>
      </w:r>
    </w:p>
    <w:p>
      <w:r>
        <w:t>考生查询成绩后，如对成绩有疑问，可于2月28日17:00前向有关报名点学校提出查分申请。请各有关学校于3月1日12:00前将申请查分考生名单通过普高报名管理系统（网址：https://pg.eeagd.edu.cn/zb）录入完毕后上传，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附件：广东省2023年普通高考音乐、舞蹈和体育术科统考成绩查询方式</w:t>
      </w:r>
    </w:p>
    <w:p>
      <w:r>
        <w:t>广东省教育考试院办公室</w:t>
      </w:r>
    </w:p>
    <w:p>
      <w:r>
        <w:t>2023年2月23日</w:t>
      </w:r>
    </w:p>
    <w:p>
      <w:pPr>
        <w:keepNext/>
      </w:pPr>
      <w:r>
        <w:t>原图分页 1/2</w:t>
      </w:r>
    </w:p>
    <w:p>
      <w:r>
        <w:drawing>
          <wp:inline xmlns:a="http://schemas.openxmlformats.org/drawingml/2006/main" xmlns:pic="http://schemas.openxmlformats.org/drawingml/2006/picture">
            <wp:extent cx="6400800" cy="3808476"/>
            <wp:docPr id="1" name="Picture 1"/>
            <wp:cNvGraphicFramePr>
              <a:graphicFrameLocks noChangeAspect="1"/>
            </wp:cNvGraphicFramePr>
            <a:graphic>
              <a:graphicData uri="http://schemas.openxmlformats.org/drawingml/2006/picture">
                <pic:pic>
                  <pic:nvPicPr>
                    <pic:cNvPr id="0" name="2395ec0986372e396f67a48f23db3058ade186a1-000.png"/>
                    <pic:cNvPicPr/>
                  </pic:nvPicPr>
                  <pic:blipFill>
                    <a:blip r:embed="rId1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35854"/>
            <wp:docPr id="2" name="Picture 2"/>
            <wp:cNvGraphicFramePr>
              <a:graphicFrameLocks noChangeAspect="1"/>
            </wp:cNvGraphicFramePr>
            <a:graphic>
              <a:graphicData uri="http://schemas.openxmlformats.org/drawingml/2006/picture">
                <pic:pic>
                  <pic:nvPicPr>
                    <pic:cNvPr id="0" name="2395ec0986372e396f67a48f23db3058ade186a1-001.png"/>
                    <pic:cNvPicPr/>
                  </pic:nvPicPr>
                  <pic:blipFill>
                    <a:blip r:embed="rId12"/>
                    <a:stretch>
                      <a:fillRect/>
                    </a:stretch>
                  </pic:blipFill>
                  <pic:spPr>
                    <a:xfrm>
                      <a:off x="0" y="0"/>
                      <a:ext cx="6400800" cy="5235854"/>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446731.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