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中高职贯通三二分段学生如何进行转段考核？</w:t>
      </w:r>
    </w:p>
    <w:p>
      <w:r>
        <w:rPr>
          <w:sz w:val="18"/>
        </w:rPr>
        <w:t>整理归属  广东省教育考试院</w:t>
      </w:r>
    </w:p>
    <w:p>
      <w:r>
        <w:rPr>
          <w:sz w:val="18"/>
        </w:rPr>
        <w:t>发布日期  2023-03-28</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https://eea.gd.gov.cn/dawenku/qtwt/content/post_4144067.html</w:t>
        </w:r>
      </w:hyperlink>
    </w:p>
    <w:p/>
    <w:p>
      <w:r>
        <w:t>转段考核以过程考核为主，转段考核总成绩由中职学段前两年若干门公共基础课程和专业技能课程成绩组成。实行教考分离，由高职院校组织命题，对口中职学校在该课程学习结束时，组织开展考核。</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1440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