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2025年普通高校招生系列问答——特殊类型招生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https://eea.gd.gov.cn/zcjd/content/post_4735099.html</w:t>
        </w:r>
      </w:hyperlink>
    </w:p>
    <w:p>
      <w:r>
        <w:t>原文含视频。Word和PDF保留静态正文及视频观看链接，未把视频转录成文字。</w:t>
      </w:r>
    </w:p>
    <w:p/>
    <w:p>
      <w:r>
        <w:t>高考填报特殊类型志愿要注意什么？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https://gdvideo.southcn.com/c062151f533671f0ae325017f0f80102/7e5d1b2f114a437496d18271cb594608-af299f7ac9bc53b4beb294058107975b-ld.mp4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https://gdvideo.southcn.com/c062151f533671f0ae325017f0f80102/7e5d1b2f114a437496d18271cb594608-066e09917516acf96794ef6d48809501-sd.mp4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57.html" TargetMode="External"/><Relationship Id="rId11" Type="http://schemas.openxmlformats.org/officeDocument/2006/relationships/hyperlink" Target="https://eea.gd.gov.cn/zcjd/content/post_4735099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c062151f533671f0ae325017f0f80102/7e5d1b2f114a437496d18271cb594608-af299f7ac9bc53b4beb294058107975b-ld.mp4" TargetMode="External"/><Relationship Id="rId14" Type="http://schemas.openxmlformats.org/officeDocument/2006/relationships/hyperlink" Target="https://gdvideo.southcn.com/c062151f533671f0ae325017f0f80102/7e5d1b2f114a437496d18271cb594608-066e09917516acf96794ef6d48809501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