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广东省2026年普通高校招生美术与设计类、书法类、播音与主持类（含粤语）和表（导）演类（服装表演方向）专业省统考合格线公布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2026-01-09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https://eea.gd.gov.cn/ptgk/content/post_4841317.html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https://eea.gd.gov.cn/news/content/post_4841331.html</w:t>
        </w:r>
      </w:hyperlink>
    </w:p>
    <w:p/>
    <w:p>
      <w:r>
        <w:t>经研究决定，我省2026年普通高校招生美术与设计类、书法类、播音与主持类（含粤语）和表（导）演类（服装表演方向）专业省统考合格线如下：</w:t>
      </w:r>
    </w:p>
    <w:p>
      <w:r>
        <w:t>一、美术与设计类</w:t>
      </w:r>
    </w:p>
    <w:p>
      <w:r>
        <w:t>本科合格线：185分</w:t>
      </w:r>
    </w:p>
    <w:p>
      <w:r>
        <w:t>高职（专科）合格线：150分</w:t>
      </w:r>
    </w:p>
    <w:p>
      <w:r>
        <w:t>二、书法类</w:t>
      </w:r>
    </w:p>
    <w:p>
      <w:r>
        <w:t>本专科合格线：200分</w:t>
      </w:r>
    </w:p>
    <w:p>
      <w:r>
        <w:t>三、播音与主持类（含粤语）</w:t>
      </w:r>
    </w:p>
    <w:p>
      <w:r>
        <w:t>本专科合格线：195分</w:t>
      </w:r>
    </w:p>
    <w:p>
      <w:r>
        <w:t>四、表（导）演类（服装表演方向）</w:t>
      </w:r>
    </w:p>
    <w:p>
      <w:r>
        <w:t>本专科合格线：205分</w:t>
      </w:r>
    </w:p>
    <w:p>
      <w:r>
        <w:t>考生专业省统考成绩达到相应类别的本科合格线，方有资格参加本科艺术类院校单独组织的专业考试。录取时，省招委会根据艺术类招生计划以及考生文化课考试、专业省统考成绩情况，按一定比例在合格线基础上另行划定各批次艺术类院校（专业）录取最低分数线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841317.html" TargetMode="External"/><Relationship Id="rId11" Type="http://schemas.openxmlformats.org/officeDocument/2006/relationships/hyperlink" Target="https://eea.gd.gov.cn/news/content/post_484133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