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广东省教育考试院2023年政府信息公开年度报告</w:t>
      </w:r>
    </w:p>
    <w:p>
      <w:r>
        <w:rPr>
          <w:sz w:val="18"/>
        </w:rPr>
        <w:t>整理归属  广东省教育考试院</w:t>
      </w:r>
    </w:p>
    <w:p>
      <w:r>
        <w:rPr>
          <w:sz w:val="18"/>
        </w:rPr>
        <w:t>发布日期  2024-01-30</w:t>
      </w:r>
    </w:p>
    <w:p>
      <w:r>
        <w:rPr>
          <w:sz w:val="18"/>
        </w:rPr>
        <w:t>来源  广东省教育考试院</w:t>
      </w:r>
    </w:p>
    <w:p>
      <w:r>
        <w:rPr>
          <w:sz w:val="18"/>
        </w:rPr>
        <w:t>栏目  信息公开年报</w:t>
      </w:r>
    </w:p>
    <w:p>
      <w:r>
        <w:rPr>
          <w:sz w:val="18"/>
        </w:rPr>
        <w:t>存档日期  2026-10-27</w:t>
      </w:r>
    </w:p>
    <w:p>
      <w:r>
        <w:t xml:space="preserve">原文链接  </w:t>
      </w:r>
      <w:hyperlink r:id="rId10">
        <w:r>
          <w:rPr>
            <w:color w:val="18548A"/>
          </w:rPr>
          <w:t>https://eea.gd.gov.cn/zwgk_xxgknb/content/post_4356675.html</w:t>
        </w:r>
      </w:hyperlink>
    </w:p>
    <w:p/>
    <w:p>
      <w:r>
        <w:t>本年度报告根据《中华人民共和国政府信息公开条例》要求，由广东省教育考试院（以下简称“省教育考试院”）编制。全文包括：总体情况、主动公开政府信息情况、收到和处理政府信息公开申请情况、政府信息公开行政复议、行政诉讼情况、存在问题和改进情况及其他需要报告的事项。省教育考试院网站网址为https://eea.gd.gov.cn/，如需了解更多政府信息，请登录查询。</w:t>
      </w:r>
    </w:p>
    <w:p>
      <w:r>
        <w:t>一、总体情况</w:t>
      </w:r>
    </w:p>
    <w:p>
      <w:r>
        <w:t>2023年，省教育考试院政府信息公开工作坚持以习近平新时代中国特色社会主义思想为指导，全面贯彻党的二十大精神，坚持以人民为中心，深入贯彻落实《中华人民共和国政府信息公开条例》和相关文件部署，结合本单位实际，及时、权威、准确公开政府信息，保障考试招生公开透明，积极回应社会关切，努力办好人民满意的教育。</w:t>
      </w:r>
    </w:p>
    <w:p>
      <w:r>
        <w:t>（一）积极落实信息主动公开。按照教育部、省政府有关信息公开政策要求，落实省教育考试院各项信息公开工作机制，充分利用官方网站、官方微信公众号、南方+等政务新媒体渠道，及时公开政策文件和重点领域文件通知。全年各平台累计发布1056篇政府信息和文件。</w:t>
      </w:r>
    </w:p>
    <w:p>
      <w:r>
        <w:t>（二）主动回应社会关切。健全政策制定与政策解读同步推进机制，落实政策文件公开和政策解读同步在线发布要求；在考试报名、志愿填报、投档录取等节点，通过线上接访、政策问答等形式准确解读招考政策；加强政府网站公众留言和电话热线规范管理，确保件件有着落、事事有回应；畅通政民互动渠道，强化舆情监测，提高回应社会关切的主动性和针对性。全年共回复网民留言24266条。</w:t>
      </w:r>
    </w:p>
    <w:p>
      <w:r>
        <w:t>（三）强化信息发布管理。强化信息发布审核管理，严格按照“先审查、后公开”的保密审查原则，对拟公开的政府信息依法依规做好保密审查工作，切实做到“涉密信息不上网、上网信息不涉密”，并常态化开展安全自查，及时清理公开信息中的有害链接，维护健康有序的网络环境。</w:t>
      </w:r>
    </w:p>
    <w:p>
      <w:r>
        <w:t>（四）切实加强平台建设。按照政府网站集约化建设指引和考核要求，进一步深化院门户网站建设工作，优化平台发布功能，规范栏目设置，官网上线智能AI咨询服务，畅通政务公开渠道。公开内容规范化及深度、广度不断提升。</w:t>
      </w:r>
    </w:p>
    <w:p>
      <w:r>
        <w:t>二、主动公开政府信息情况</w:t>
      </w:r>
    </w:p>
    <w:tbl>
      <w:tblPr>
        <w:tblW w:type="auto" w:w="0"/>
        <w:jc w:val="center"/>
        <w:tblLayout w:type="fixed"/>
        <w:tblLook w:firstColumn="1" w:firstRow="1" w:lastColumn="0" w:lastRow="0" w:noHBand="0" w:noVBand="1" w:val="04A0"/>
      </w:tblPr>
      <w:tblGrid>
        <w:gridCol w:w="3420"/>
        <w:gridCol w:w="3420"/>
        <w:gridCol w:w="3420"/>
        <w:gridCol w:w="3420"/>
      </w:tblGrid>
      <w:tr>
        <w:trPr>
          <w:tblHeader/>
        </w:trPr>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第二十条第（一）项</w:t>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本年制发件数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本年废止件数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现行有效件数</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规章</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行政规范性文件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第二十条第（五）项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行政许可</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第二十条第（六）项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行政处罚</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行政强制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第二十条第（八）项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本年收费金额（单位：万元）</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行政事业性收费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23462.86万元</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三、收到和处理政府信息公开申请情况</w:t>
      </w:r>
    </w:p>
    <w:tbl>
      <w:tblPr>
        <w:tblW w:type="auto" w:w="0"/>
        <w:jc w:val="center"/>
        <w:tblLayout w:type="fixed"/>
        <w:tblLook w:firstColumn="1" w:firstRow="1" w:lastColumn="0" w:lastRow="0" w:noHBand="0" w:noVBand="1" w:val="04A0"/>
      </w:tblPr>
      <w:tblGrid>
        <w:gridCol w:w="1520"/>
        <w:gridCol w:w="1520"/>
        <w:gridCol w:w="1520"/>
        <w:gridCol w:w="1520"/>
        <w:gridCol w:w="1520"/>
        <w:gridCol w:w="1520"/>
        <w:gridCol w:w="1520"/>
        <w:gridCol w:w="1520"/>
        <w:gridCol w:w="1520"/>
      </w:tblGrid>
      <w:tr>
        <w:trPr>
          <w:tblHeader/>
        </w:trPr>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（本列数据的勾稽关系为：第一项加第二项之和，等于第三项加第四项之和）</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申请人情况</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自然人</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法人或其他组织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商业企业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科研机构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社会公益组织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法律服务机构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一、本年新收政府信息公开申请数量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二、上年结转政府信息公开申请数量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三、本年度办理结果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（一）予以公开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（二）部分公开（区分处理的，只计这一情形，不计其他情形）</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（三）不予公开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1.属于国家秘密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2.其他法律行政法规禁止公开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3.危及“三安全一稳定”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4.保护第三方合法权益</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5.属于三类内部事务信息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6.属于四类过程性信息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7.属于行政执法案卷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8.属于行政查询事项</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（四）无法提供</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1.本机关不掌握相关政府信息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2.没有现成信息需要另行制作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3.补正后申请内容仍不明确</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（五）不予处理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1.信访举报投诉类申请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3.要求提供公开出版物</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4.无正当理由大量反复申请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5.要求行政机关确认或重新出具已获取信息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（六）其他处理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1.申请人无正当理由逾期不补正、行政机关不再处理其政府信息公开申请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2.申请人逾期未按收费通知要求缴纳费用、行政机关不再处理其政府信息公开申请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（七）总计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四、结转下年度继续办理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四、政府信息公开行政复议、行政诉讼情况</w:t>
      </w:r>
    </w:p>
    <w:tbl>
      <w:tblPr>
        <w:tblW w:type="auto" w:w="0"/>
        <w:jc w:val="center"/>
        <w:tblLayout w:type="fixed"/>
        <w:tblLook w:firstColumn="1" w:firstRow="1" w:lastColumn="0" w:lastRow="0" w:noHBand="0" w:noVBand="1" w:val="04A0"/>
      </w:tblPr>
      <w:tblGrid>
        <w:gridCol w:w="912"/>
        <w:gridCol w:w="912"/>
        <w:gridCol w:w="912"/>
        <w:gridCol w:w="912"/>
        <w:gridCol w:w="912"/>
        <w:gridCol w:w="912"/>
        <w:gridCol w:w="912"/>
        <w:gridCol w:w="912"/>
        <w:gridCol w:w="912"/>
        <w:gridCol w:w="912"/>
        <w:gridCol w:w="912"/>
        <w:gridCol w:w="912"/>
        <w:gridCol w:w="912"/>
        <w:gridCol w:w="912"/>
        <w:gridCol w:w="912"/>
      </w:tblGrid>
      <w:tr>
        <w:trPr>
          <w:tblHeader/>
        </w:trPr>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行政复议</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行政诉讼</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未经复议直接起诉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复议后起诉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bl>
    <w:p/>
    <w:p>
      <w:r>
        <w:t>五、存在问题和改进情况</w:t>
      </w:r>
    </w:p>
    <w:p>
      <w:r>
        <w:t>2023年，省教育考试院信息公开工作取得了明显成效，但新媒体管理、政策解读、留言回复方面还需要进一步加强。</w:t>
      </w:r>
    </w:p>
    <w:p>
      <w:r>
        <w:t>一是新媒体宣传效能有待进一步发挥。充分运用微信、视频号等宣传平台，灵活多样开展信息公开仍不够充分，丰富信息公开的形式、提升信息公开的实效性方面仍存在不足。</w:t>
      </w:r>
    </w:p>
    <w:p>
      <w:r>
        <w:t>二是政策解读深度有待进一步拓展。针对考生及家长“急难愁盼”的问题，与时俱进紧贴考生需求开展政策解读仍不够充分，特别在高考志愿填报和招生专业解读方面，仍需开拓思路。</w:t>
      </w:r>
    </w:p>
    <w:p>
      <w:r>
        <w:t>三是留言回复精准度有待进一步提升。针对网站找错平台及上级转办的留言，回复办理不够及时，个别回复内容存在表述不规范等问题，质量有待优化。</w:t>
      </w:r>
    </w:p>
    <w:p>
      <w:r>
        <w:t>2024年，省教育考试院将进一步加强信息公开制度建设，修订官网与新媒体平台的信息发布管理办法，加强队伍建设和业务培训，持续提升政策文件解读规范化，提高政务公开多元化和创新性，不断推动我省教育考试招生信息公开工作取得新成效。</w:t>
      </w:r>
    </w:p>
    <w:p>
      <w:r>
        <w:t>六、其他需要报告的事项</w:t>
      </w:r>
    </w:p>
    <w:p>
      <w:r>
        <w:t>无。</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nb/content/post_43566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