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深圳市招生考试办公室关于2021年我市民办普高和中职学校第二次划线录取标准的通知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2021-08-12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https://szeb.sz.gov.cn/szzkw/zkgg/zkxx/content/post_9056350.html</w:t>
        </w:r>
      </w:hyperlink>
    </w:p>
    <w:p/>
    <w:p>
      <w:r>
        <w:t>各区（新区）教育行政部门、各有关学校：</w:t>
      </w:r>
    </w:p>
    <w:p>
      <w:r>
        <w:t>现将我市2021年部分民办普高和中职学校第二次划线录取的录取标准予以公布（详见附表），并就有关事项通知如下：</w:t>
      </w:r>
    </w:p>
    <w:p>
      <w:r>
        <w:t>一、我市今年部分民办普高和中职学校的第二次划线录取的录取标准（分数线）根据考生填报第二次划线录取志愿顺序、学校第二次划线录取计划、考生中考原始总分和生物与地理学业水平考试成绩等条件划定。</w:t>
      </w:r>
    </w:p>
    <w:p>
      <w:r>
        <w:t>二、本次第二次划线录取学校招收的学生按考生志愿、中考成绩和综合表现评价等级1∶1出档。全部实行计算机远程网上录取，各学校在本校内通过互联网进行阅档招生。录取工作结束的第2天，考生可通过“深圳招考网”（zkb.sz.gov.cn）免费查询录取结果。凡按志愿录取的考生，不能退档，不能转录。如不按规定时间报到注册者，将被视为自动放弃入学资格。</w:t>
      </w:r>
    </w:p>
    <w:p>
      <w:r>
        <w:t>附件：深圳市2021年部分民办普高和中职学校第二次划线录取标准</w:t>
      </w:r>
    </w:p>
    <w:p>
      <w:r>
        <w:drawing>
          <wp:inline xmlns:a="http://schemas.openxmlformats.org/drawingml/2006/main" xmlns:pic="http://schemas.openxmlformats.org/drawingml/2006/picture">
            <wp:extent cx="6400800" cy="622157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37506a46d7fb744cff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215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056350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