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我市召开2022年普通高考考点准备工作会议</w:t>
      </w:r>
    </w:p>
    <w:p>
      <w:r>
        <w:rPr>
          <w:sz w:val="18"/>
        </w:rPr>
        <w:t>整理归属  深圳市招生考试办公室</w:t>
      </w:r>
    </w:p>
    <w:p>
      <w:r>
        <w:rPr>
          <w:sz w:val="18"/>
        </w:rPr>
        <w:t>发布日期  2022-04-13</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https://szeb.sz.gov.cn/szzkw/qt/sylb/content/post_9697120.html</w:t>
        </w:r>
      </w:hyperlink>
    </w:p>
    <w:p>
      <w:r>
        <w:t xml:space="preserve">同文来源  </w:t>
      </w:r>
      <w:hyperlink r:id="rId11">
        <w:r>
          <w:rPr>
            <w:color w:val="18548A"/>
          </w:rPr>
          <w:t>https://szeb.sz.gov.cn/szzkw/zkgg/gkxx/content/post_9697115.html</w:t>
        </w:r>
      </w:hyperlink>
    </w:p>
    <w:p/>
    <w:p>
      <w:r>
        <w:t>4月13日上午，市招考办召开全市2022年普通高考考点准备工作视频会议，对高考考点准备工作进行全面部署。市招考办主任肖伟峰出席会议，各区教育行政部门高考工作负责人及高考考点学校考试负责人在分会场参加会议。</w:t>
      </w:r>
    </w:p>
    <w:p>
      <w:r>
        <w:t>会议听取了各区教育行政部门关于我市2022年高考准备工作汇报。会议强调，高考关系到广大学生、家长的切身利益，是社会关注的热点和焦点，承载着广大学子的殷切希望。要站在打造教育强市的战略高度，切实增强大局意识和服务意识，狠抓考试疫情防控工作和考试组织管理，强化安全底线思维，做好考风考纪教育，为高考工作营造良好的氛围。要认真分析我市高考当前面临的问题和形势，查找不足，汲取经验，加压奋进，全力做好各项高考准备工作，以积极乐观的心态、顽强的毅力和充足的干劲打好2022年高考攻坚战，实现平安健康高考目标。</w:t>
      </w:r>
    </w:p>
    <w:p>
      <w:r>
        <w:t>目前，各区、各考点高考准备工作有条不紊进行中，我们将共同努力、奋力拼搏，以真抓实干的工作作风、脚踏实地的工作态度、创优争先的工作追求，认真做好2022年高考工作，为我市2022年高考取得更加优异的成绩贡献力量。</w:t>
      </w:r>
    </w:p>
    <w:p>
      <w:r>
        <w:drawing>
          <wp:inline xmlns:a="http://schemas.openxmlformats.org/drawingml/2006/main" xmlns:pic="http://schemas.openxmlformats.org/drawingml/2006/picture">
            <wp:extent cx="6400800" cy="2344293"/>
            <wp:docPr id="1" name="Picture 1"/>
            <wp:cNvGraphicFramePr>
              <a:graphicFrameLocks noChangeAspect="1"/>
            </wp:cNvGraphicFramePr>
            <a:graphic>
              <a:graphicData uri="http://schemas.openxmlformats.org/drawingml/2006/picture">
                <pic:pic>
                  <pic:nvPicPr>
                    <pic:cNvPr id="0" name="0b28b424ab7a40b14455.png"/>
                    <pic:cNvPicPr/>
                  </pic:nvPicPr>
                  <pic:blipFill>
                    <a:blip r:embed="rId12"/>
                    <a:stretch>
                      <a:fillRect/>
                    </a:stretch>
                  </pic:blipFill>
                  <pic:spPr>
                    <a:xfrm>
                      <a:off x="0" y="0"/>
                      <a:ext cx="6400800" cy="234429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9697120.html" TargetMode="External"/><Relationship Id="rId11" Type="http://schemas.openxmlformats.org/officeDocument/2006/relationships/hyperlink" Target="https://szeb.sz.gov.cn/szzkw/zkgg/gkxx/content/post_9697115.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