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7月12日我省提前批非军检及艺术类校考开始投档</w:t>
      </w:r>
    </w:p>
    <w:p>
      <w:r>
        <w:rPr>
          <w:sz w:val="18"/>
        </w:rPr>
        <w:t>整理归属  广东省教育考试院</w:t>
      </w:r>
    </w:p>
    <w:p>
      <w:r>
        <w:rPr>
          <w:sz w:val="18"/>
        </w:rPr>
        <w:t>发布日期  2023-07-13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https://eea.gd.gov.cn/ptgk/content/post_4217777.html</w:t>
        </w:r>
      </w:hyperlink>
    </w:p>
    <w:p>
      <w:r>
        <w:t xml:space="preserve">同文来源  </w:t>
      </w:r>
      <w:hyperlink r:id="rId11">
        <w:r>
          <w:rPr>
            <w:color w:val="18548A"/>
          </w:rPr>
          <w:t>https://eea.gd.gov.cn/zwgk/sjfb/tjsj/content/post_4217778.html</w:t>
        </w:r>
      </w:hyperlink>
    </w:p>
    <w:p/>
    <w:p>
      <w:r>
        <w:t>7月12日，我省提前批军检院校、提前批独立设置本科艺术院校（含参照）及经批准的院校（专业）(下称提前批艺术类）的统考+校考和统考合格类别的录取工作顺利结束，共录取6943人。其中，提前批军检院校录取3310人，提前批艺术类统考+校考录取3148人、统考合格录取485人。除个别军检院校因考生不服从专业调剂而退档产生少量缺额须征集志愿外，其他院校顺利完成招生计划。相关高校录取结果可按省教育考试院指引进行查询。</w:t>
      </w:r>
    </w:p>
    <w:p>
      <w:r>
        <w:t>12日下午，提前批非军检院校开始投档，共投出考生983人，其中普通类（历史）357人，普通类（物理）626人。</w:t>
      </w:r>
    </w:p>
    <w:p>
      <w:r>
        <w:t>同日，提前批艺术类校考进行投档。根据招生录取工作日程安排，预计提前批非军检院校及艺术类校考录取将于13日结束，14日下午17时后考生可陆续查询到相应录取结果。紧接着将进行提前批本科教师专项计划、提前批本科卫生专项计划的投档录取。</w:t>
      </w:r>
    </w:p>
    <w:p>
      <w:r>
        <w:t>广东省教育考试院</w:t>
      </w:r>
    </w:p>
    <w:p>
      <w:r>
        <w:t>2023年7月13日</w:t>
      </w:r>
    </w:p>
    <w:p>
      <w:r>
        <w:t>投档情况附件</w:t>
      </w:r>
    </w:p>
    <w:p>
      <w:pPr>
        <w:pStyle w:val="Heading1"/>
      </w:pPr>
      <w:r>
        <w:t>附件及下载链接</w:t>
      </w:r>
    </w:p>
    <w:p>
      <w:hyperlink r:id="rId12">
        <w:r>
          <w:rPr>
            <w:color w:val="18548A"/>
          </w:rPr>
          <w:t>投档情况附件</w:t>
        </w:r>
      </w:hyperlink>
    </w:p>
    <w:p>
      <w:r>
        <w:rPr>
          <w:sz w:val="16"/>
        </w:rPr>
        <w:t>https://eea.gd.gov.cn/attachment/0/525/525990/4217777.pdf</w:t>
      </w:r>
    </w:p>
    <w:p>
      <w:pPr>
        <w:pStyle w:val="Heading1"/>
      </w:pPr>
      <w:r>
        <w:t>正文相关链接</w:t>
      </w:r>
    </w:p>
    <w:p>
      <w:hyperlink r:id="rId13">
        <w:r>
          <w:rPr>
            <w:color w:val="18548A"/>
          </w:rPr>
          <w:t>投档情况附件</w:t>
        </w:r>
      </w:hyperlink>
    </w:p>
    <w:p>
      <w:r>
        <w:t>https://eea.gd.gov.cn/attachment/0/525/525990/4217778.pdf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17777.html" TargetMode="External"/><Relationship Id="rId11" Type="http://schemas.openxmlformats.org/officeDocument/2006/relationships/hyperlink" Target="https://eea.gd.gov.cn/zwgk/sjfb/tjsj/content/post_4217778.html" TargetMode="External"/><Relationship Id="rId12" Type="http://schemas.openxmlformats.org/officeDocument/2006/relationships/hyperlink" Target="https://eea.gd.gov.cn/attachment/0/525/525990/4217777.pdf" TargetMode="External"/><Relationship Id="rId13" Type="http://schemas.openxmlformats.org/officeDocument/2006/relationships/hyperlink" Target="https://eea.gd.gov.cn/attachment/0/525/525990/421777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