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我省2023年普通高考专科批次普通类正式投档</w:t>
      </w:r>
    </w:p>
    <w:p>
      <w:r>
        <w:rPr>
          <w:sz w:val="18"/>
        </w:rPr>
        <w:t>整理归属  广东省教育考试院</w:t>
      </w:r>
    </w:p>
    <w:p>
      <w:r>
        <w:rPr>
          <w:sz w:val="18"/>
        </w:rPr>
        <w:t>发布日期  2023-08-03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https://eea.gd.gov.cn/ptgk/content/post_4230871.html</w:t>
        </w:r>
      </w:hyperlink>
    </w:p>
    <w:p>
      <w:r>
        <w:t xml:space="preserve">同文来源  </w:t>
      </w:r>
      <w:hyperlink r:id="rId11">
        <w:r>
          <w:rPr>
            <w:color w:val="18548A"/>
          </w:rPr>
          <w:t>https://eea.gd.gov.cn/zwgk/sjfb/tjsj/content/post_4230872.html</w:t>
        </w:r>
      </w:hyperlink>
    </w:p>
    <w:p/>
    <w:p>
      <w:r>
        <w:t>8月3日，我省2023年普通高考专科批次普通类正式投档，共投出考生153121人，其中普通类（历史）投出63925人，普通类（物理）投出89196人。</w:t>
      </w:r>
    </w:p>
    <w:p>
      <w:r>
        <w:t>从投档情况来看，绝大部分院校专业组一次性满档，部分公办专科院校投档分较高，尤其是国家“双高计划”建设院校，如普通类（历史、物理）的深圳职业技术大学、广东轻工职业技术学院、顺德职业技术学院和广州番禺职业技术学院等有多个专业组投档分超过本科批次录取最低分数线。本科院校的专科专业组和本专科院校三二分段协同培养招生受到青睐，如华北理工大学、韶关学院、中国民用航空飞行学院等综合实力较强的本科院校的专科专业组，投档分数稳居高位。普通类（历史）的深圳职业技术大学501组、顺德职业技术学院515组投档分分别为492分、491分；普通类（物理）的深圳职业技术大学502组、广东轻工职业技术学院505组投档分分别为509分、493分。</w:t>
      </w:r>
    </w:p>
    <w:p>
      <w:r>
        <w:t>明日起，考生可陆续查询到录取结果，预计专科批次录取于8月6日前结束。随后，省招生办将对未完成计划的专科批次院校专业组统一进行征集志愿。请广大考生、家长密切关注广东省教育考试院官网和官微，及时获取专科征集志愿信息。</w:t>
      </w:r>
    </w:p>
    <w:p>
      <w:r>
        <w:t>广东省教育考试院</w:t>
      </w:r>
    </w:p>
    <w:p>
      <w:r>
        <w:t>2023年8月3日</w:t>
      </w:r>
    </w:p>
    <w:p>
      <w:r>
        <w:t>专科普通类投档情况下载</w:t>
      </w:r>
    </w:p>
    <w:p>
      <w:pPr>
        <w:pStyle w:val="Heading1"/>
      </w:pPr>
      <w:r>
        <w:t>附件及下载链接</w:t>
      </w:r>
    </w:p>
    <w:p>
      <w:hyperlink r:id="rId12">
        <w:r>
          <w:rPr>
            <w:color w:val="18548A"/>
          </w:rPr>
          <w:t>专科普通类投档情况下载</w:t>
        </w:r>
      </w:hyperlink>
    </w:p>
    <w:p>
      <w:r>
        <w:rPr>
          <w:sz w:val="16"/>
        </w:rPr>
        <w:t>https://eea.gd.gov.cn/attachment/0/528/528030/4230871.zip</w:t>
      </w:r>
    </w:p>
    <w:p>
      <w:pPr>
        <w:pStyle w:val="Heading1"/>
      </w:pPr>
      <w:r>
        <w:t>正文相关链接</w:t>
      </w:r>
    </w:p>
    <w:p>
      <w:hyperlink r:id="rId13">
        <w:r>
          <w:rPr>
            <w:color w:val="18548A"/>
          </w:rPr>
          <w:t>专科普通类投档情况下载</w:t>
        </w:r>
      </w:hyperlink>
    </w:p>
    <w:p>
      <w:r>
        <w:t>https://eea.gd.gov.cn/attachment/0/528/528030/4230872.zip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30871.html" TargetMode="External"/><Relationship Id="rId11" Type="http://schemas.openxmlformats.org/officeDocument/2006/relationships/hyperlink" Target="https://eea.gd.gov.cn/zwgk/sjfb/tjsj/content/post_4230872.html" TargetMode="External"/><Relationship Id="rId12" Type="http://schemas.openxmlformats.org/officeDocument/2006/relationships/hyperlink" Target="https://eea.gd.gov.cn/attachment/0/528/528030/4230871.zip" TargetMode="External"/><Relationship Id="rId13" Type="http://schemas.openxmlformats.org/officeDocument/2006/relationships/hyperlink" Target="https://eea.gd.gov.cn/attachment/0/528/528030/4230872.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