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深圳市2025年普通高校招生统一考试报名工作规定</w:t>
      </w:r>
    </w:p>
    <w:p>
      <w:r>
        <w:rPr>
          <w:sz w:val="18"/>
        </w:rPr>
        <w:t>整理归属  深圳市招生考试办公室</w:t>
      </w:r>
    </w:p>
    <w:p>
      <w:r>
        <w:rPr>
          <w:sz w:val="18"/>
        </w:rPr>
        <w:t>发布日期  2024-10-18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https://szeb.sz.gov.cn/szzkw/zkgg/gkxx/content/post_11642592.html</w:t>
        </w:r>
      </w:hyperlink>
    </w:p>
    <w:p/>
    <w:p>
      <w:r>
        <w:t>为做好我市2025年普通高校招生统一考试报名工作，根据教育部、广东省有关规定和文件要求，结合我市普通高校招生考试工作实际，特制定我市2025年普通高校招生统一考试报名工作规定。</w:t>
      </w:r>
    </w:p>
    <w:p>
      <w:r>
        <w:t>一、报名时间</w:t>
      </w:r>
    </w:p>
    <w:p>
      <w:r>
        <w:t>2025年我省普通高校招生统一考试报名时间为：2024年11月1日至10日。考生报名包含系统注册、网上报名和确认报名共3个步骤，其中系统注册和网上报名的时间为：11月1日至10日，确认报名时间：11月6日至10日。</w:t>
      </w:r>
    </w:p>
    <w:p>
      <w:r>
        <w:t>拟参加2025年普通高校招生录取（含春季高考和夏季高考）的以下类型考生须按上述时间报名：</w:t>
      </w:r>
    </w:p>
    <w:p>
      <w:r>
        <w:t>1.普通高等学校招生统一考试（高考）考生；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3.高职院校依据普通高中学业水平成绩录取（简称依学考成绩录取）考生（此类考生报名参加普通高中学业水平考试的具体安排另行通知）；</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6.高职院校五年一贯制录取并于2025年进入高职阶段学习（简称五年一贯制）学生。</w:t>
      </w:r>
    </w:p>
    <w:p>
      <w:r>
        <w:t>二、报名条件</w:t>
      </w:r>
    </w:p>
    <w:p>
      <w:r>
        <w:t>（一）下列人员可以在我省报名参加普通高考</w:t>
      </w:r>
    </w:p>
    <w:p>
      <w:r>
        <w:t>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（1）应届毕业生</w:t>
      </w:r>
    </w:p>
    <w:p>
      <w:r>
        <w:t>①具有我省高中阶段学校连续3年学籍（时间计算到高考当年8月31日，下同）并实际就读，且高考报名时具有我省户籍的。</w:t>
      </w:r>
    </w:p>
    <w:p>
      <w:r>
        <w:t>②考生父母（含父母一方或法定监护人）为广东户籍，考生取得我省户籍满1年、学籍满1年不足3年并实际就读的。即考生于高三年级开学前（时间统一截至2024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2023年8月31日）已将户籍迁入我省，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8.在我省定居，并在我省高中阶段学校实际就读，且持公安机关或国家移民管理局签发的《中华人民共和国外国人永久居留证》的外国侨民。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的非毕业班资格学生只参加高考报名，不参加文化课统一考试。</w:t>
      </w:r>
    </w:p>
    <w:p>
      <w:r>
        <w:t>12.其他符合教育部报考规定的。</w:t>
      </w:r>
    </w:p>
    <w:p>
      <w:r>
        <w:t>（二）下列人员不得在我省报名普通高考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高考报名后，如发现考生有上述不符合报考条件的情况，由省级招生考试机构取消其高考报名资格。</w:t>
      </w:r>
    </w:p>
    <w:p>
      <w:r>
        <w:t>（三）其他事项</w:t>
      </w:r>
    </w:p>
    <w:p>
      <w:r>
        <w:t>1.驻粤部队现役军人身份由省军区统一核准确认。</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4.普通高中同等学力认定工作依照《广东省教育厅关于规范普通高中同等学力认定工作的通知》（粤教基函〔2019〕129号）执行，具体考核认定办法可登录深圳市教育局官方网站查看。</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6.学制少于三年的高中阶段学校，其毕业生初中毕业不满3年的（时间计算到高考当年8月31日），可以在我省报名参加普通高考，但只能参加高职院校（专科）批次录取，不能参加本科批次录取。</w:t>
      </w:r>
    </w:p>
    <w:p>
      <w:r>
        <w:t>三、报名地点</w:t>
      </w:r>
    </w:p>
    <w:p>
      <w:r>
        <w:t>（一）应届毕业生</w:t>
      </w:r>
    </w:p>
    <w:p>
      <w:r>
        <w:t>1.广东省户籍考生原则上在学籍所在地报考，也可以在户籍所在地报考，不得在其他地市借考。</w:t>
      </w:r>
    </w:p>
    <w:p>
      <w:r>
        <w:t>2.随迁子女考生原则上在学籍所在地报考，也可以在父母居住证所在地报考，不得在其他地市借考。</w:t>
      </w:r>
    </w:p>
    <w:p>
      <w:r>
        <w:t>（二）往届毕业生</w:t>
      </w:r>
    </w:p>
    <w:p>
      <w:r>
        <w:t>1.广东省深圳市户籍考生在户籍所在区的社会报名点报考。深圳市外户籍的往届毕业生回户籍所在地报考。</w:t>
      </w:r>
    </w:p>
    <w:p>
      <w:r>
        <w:t>2.往届随迁子女考生在毕业学校或父母社保缴纳所在区的社会报名点进行资料审核。</w:t>
      </w:r>
    </w:p>
    <w:p>
      <w:r>
        <w:t>（三）同等学力人员</w:t>
      </w:r>
    </w:p>
    <w:p>
      <w:r>
        <w:t>统一在户籍所在地报考，不得在其他地市借考。</w:t>
      </w:r>
    </w:p>
    <w:p>
      <w:r>
        <w:t>（四）社会报名点设置</w:t>
      </w:r>
    </w:p>
    <w:p>
      <w:r>
        <w:t>我市共设立12个社会报名点，接受社会考生报名。深圳户籍的往届生、市外学校就读回深报考的考生需到社会报名点报名。报名点安排情况如下：</w:t>
      </w:r>
    </w:p>
    <w:p>
      <w:r>
        <w:t>（1）罗湖社会报名点（行知职业技术学校）负责罗湖区户籍考生；</w:t>
      </w:r>
    </w:p>
    <w:p>
      <w:r>
        <w:t>（2）福田社会报名点（红岭中学）负责福田区户籍考生、消防救援（单招）考生；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西乡、航城、石岩街道辖区范围内的考生；龙津中学报名点负责福永、福海、沙井、新桥、松岗、燕罗街道辖区范围内的考生）；</w:t>
      </w:r>
    </w:p>
    <w:p>
      <w:r>
        <w:t>（6）龙华社会报名点（观澜中学）负责龙华区户籍考生；</w:t>
      </w:r>
    </w:p>
    <w:p>
      <w:r>
        <w:t>（7）龙岗社会报名点（龙城高级中学、横岗高级中学）负责龙岗区户籍考生（其中龙城高级中学报名点负责龙城、平湖、龙岗、宝龙、坪地街道辖区范围内的考生；横岗高级中学报名点负责园山、横岗、坂田、南湾、吉华、布吉街道辖区范围内的考生）；</w:t>
      </w:r>
    </w:p>
    <w:p>
      <w:r>
        <w:t>（8）坪山社会报名点（坪山高级中学）负责坪山区、大鹏新区户籍考生；</w:t>
      </w:r>
    </w:p>
    <w:p>
      <w:r>
        <w:t>（9）光明社会报名点（光明区高级中学）负责光明户籍考生；</w:t>
      </w:r>
    </w:p>
    <w:p>
      <w:r>
        <w:t>（10）深圳鹏城技师学院负责我市技工学校应往届毕业生。</w:t>
      </w:r>
    </w:p>
    <w:p>
      <w:r>
        <w:t>我市社会报名点考生采用手机预约的方式办理高考报名手续。2024年10月28日起可通过“深圳市招生考试办公室微信公众号”考生服务栏目预约办理。预约成功的考生须按预约时间段持预约短信、报名材料到指定的社会报名点报名。</w:t>
      </w:r>
    </w:p>
    <w:p>
      <w:r>
        <w:t>四、报名办法</w:t>
      </w:r>
    </w:p>
    <w:p>
      <w:r>
        <w:t>（一）报考方式</w:t>
      </w:r>
    </w:p>
    <w:p>
      <w:r>
        <w:t>高考报名前，各学校在高考报名系统中核对报名点代码，考生属性与考试科目之间关系说明（附件1）。各学校可根据本校的实际，组织考生自行上网填报高考报名信息或在学校集中填报。高职院校五年一贯制录取且2025年进入高职阶段学习学生的确认工作由所属高职院校负责。</w:t>
      </w:r>
    </w:p>
    <w:p>
      <w:r>
        <w:t>（二）考生报名基本流程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附件3）。应届毕业生可由所在学校事先核准考生报考条件和材料，到学校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附件4），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和上传相片，并交纳报考费。上传的报名材料支持JPG/PNG/PDF文件格式，大小不超过2M，其中身份证要求上传正反两面、居民户口簿要求上传首页、户主页、父/母亲或监护人页、考生本人页，考生可提前准备好电子文档，方便报名时上传。</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2025年普通高校招生统一考试报名实施细则》（附件5）进行。</w:t>
      </w:r>
    </w:p>
    <w:p>
      <w:r>
        <w:t>（三）考生号编排规则</w:t>
      </w:r>
    </w:p>
    <w:p>
      <w:r>
        <w:t>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（四）选考科目要求</w:t>
      </w:r>
    </w:p>
    <w:p>
      <w:r>
        <w:t>根据教育部2021年修订的《普通高校本科招生专业选考科目要求指引（通用版）》，拟参加2025年广东省普通高考的考生可参考2024年在粤招生高校本科专业（类）选考科目要求（可查阅广东省教育考试院编制发行的《广东省2024年普通高等学校招生专业目录》）或咨询相关高校，了解目标高校招生专业（类）的选考科目要求。实际招生高校和招生专业以《广东省2025年普通高等学校招生专业目录》公布为准。</w:t>
      </w:r>
    </w:p>
    <w:p>
      <w:r>
        <w:t>五、特殊考生报名材料办理与审核</w:t>
      </w:r>
    </w:p>
    <w:p>
      <w:r>
        <w:t>（一）户籍从外省迁入我省的考生</w:t>
      </w:r>
    </w:p>
    <w:p>
      <w:r>
        <w:t>户籍从外省迁入我省的考生，高考报名前，应届毕业生须提前办理《广东省2025年普通高考报名应届毕业生学籍户籍审核表》（附件6，简称《学籍户籍审核表》）；往届毕业生须提前办理《广东省2025年普通高考报名往届毕业生报名资格审核表》（附件7，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社会报名点要及时告知考生。</w:t>
      </w:r>
    </w:p>
    <w:p>
      <w:r>
        <w:t>（二）随迁子女考生</w:t>
      </w:r>
    </w:p>
    <w:p>
      <w:r>
        <w:t>根据《深圳市招生考试办公室关于做好2025年普通高考随迁子女考生报考资格审核工作的通知》要求，考生在高考报名前应提供本人身份证、居民户口簿和相关的资格证明材料由所就读的学校初审，并在系统上提交，审核通过后办理《广东省进城务工人员随迁子女高考报名资格审核表》（附件8）。审核通过的随迁子女应在网上报名时间内登录高考报名系统输入《广东省进城务工人员随迁子女高考报名资格审核表》的相关信息，并在报名确认时持本人身份证、居民户口簿、父母居住证、父母社保（含养老保险和医疗保险）缴费证明等相关资格证明材料和审核通过的《广东省进城务工人员随迁子女高考报名资格审核表》按要求到就读学校或社会报名点办理报名确认手续。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已错过户籍所在地高考报名时间，需要由省考试院协调回原户籍地参加高考报名的考生，应向就读学校提出申请，由各学校汇总后于2024年11月10日前报市招考办。</w:t>
      </w:r>
    </w:p>
    <w:p>
      <w:r>
        <w:t>（三）残疾人考生</w:t>
      </w:r>
    </w:p>
    <w:p>
      <w:r>
        <w:t>残疾人考生在网上报名时应在高考报名系统上填写相应的残疾信息。根据《教育部 中国残联关于印发残疾人参加普通高等学校招生全国统一考试管理规定的通知》（教学〔2017〕4号）规定，符合条件的残疾人考生可以申请在普通高考中佩戴助听器、使用光学放大镜、使用大字号试卷、延长考试时间、免除英语听说考试等合理便利。办理流程如下：</w:t>
      </w:r>
    </w:p>
    <w:p>
      <w:r>
        <w:t>1.考生申请。残疾人考生凭本人身份证、二代残疾人证，填写《残疾人报考广东省2025年普通高考合理便利申请表》（附件9）在高考报名期间向学校提出正式的申请，由专家组进行现场确认和评估。无残疾人证考生不能申请合理便利。肢体残疾申请延长考试时间的考生，应在申请表中说明考生肢体残疾的具体情况，是否影响书写，必要时可附医院诊断报告。</w:t>
      </w:r>
    </w:p>
    <w:p>
      <w:r>
        <w:t>2.市审核评估。市招考办联合残联、卫生等相关部门专业人员组成专家组，对考生的申请材料和残疾情况进行现场评估，形成《残疾人报考广东省2025年普通高考合理便利专家评估表》（附件10）。</w:t>
      </w:r>
    </w:p>
    <w:p>
      <w:r>
        <w:t>3.结果告知。省教育考试院将联合省残联、医疗专家进行复核，最终审核结果由省教育考试院通知（残疾人考生具体操作流程，市招考办将另文通知）。</w:t>
      </w:r>
    </w:p>
    <w:p>
      <w:r>
        <w:t>（四）“3+证书”考生</w:t>
      </w:r>
    </w:p>
    <w:p>
      <w:r>
        <w:t>“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考生联系就读学校报考。</w:t>
      </w:r>
    </w:p>
    <w:p>
      <w:r>
        <w:t>已取得教育部教育考试院（考试中心）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2025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2025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2025年3月1日前可获得职业技能等级证书的考生，还须在我省2025年春季高考志愿填报前联系学校补充相关证书信息。我省2025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（五）体育艺术类（含体育类、音乐类、舞蹈类、表（导）演类、播音与主持类、美术与设计类、书法类、戏曲类，下同）考生</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2025年普通高校体育类专业招生报名及考试办法的通知》《关于印发广东省2025年普通高校艺术类专业考试招生办法的通知》。</w:t>
      </w:r>
    </w:p>
    <w:p>
      <w:r>
        <w:t>六、考试费</w:t>
      </w:r>
    </w:p>
    <w:p>
      <w:r>
        <w:t>考生须按规定交纳考试费。考试费标准按照《广东省发展改革委 广东省财政厅关于规范全省教育部门教育考试行政事业性收费及有关问题的通知》（粤发改价格〔2022〕442号）执行。文化科考试费和艺术类、体育类专业能力（术科）考试统考费一同交纳，实行网上交费。</w:t>
      </w:r>
    </w:p>
    <w:p>
      <w:r>
        <w:t>七、考生信息采集</w:t>
      </w:r>
    </w:p>
    <w:p>
      <w:r>
        <w:t>考生信息是考生考试、填报志愿、投档录取、入学报到、电子注册、学籍管理、学历证书办理的重要依据。考生信息错漏可能导致考生无法正常考试、无法填报志愿、无法在教育部备案，毕业时无法获得毕业证书等各种问题。考生信息采集应坚持基础身份特征信息用设备和程序采集，人工填报信息应采用交叉核对，重复校验的方式确保信息准确性。考生对所填报考信息的准确性负责。</w:t>
      </w:r>
    </w:p>
    <w:p>
      <w:r>
        <w:t>（一）采集范围</w:t>
      </w:r>
    </w:p>
    <w:p>
      <w:r>
        <w:t>参加高考报名的各类考生均需按要求采集考生信息。</w:t>
      </w:r>
    </w:p>
    <w:p>
      <w:r>
        <w:t>（二）基础信息采集</w:t>
      </w:r>
    </w:p>
    <w:p>
      <w:r>
        <w:t>考生基本身份特征信息使用电子设备程序统一采集。考生身份证信息统一采用身份证阅读器采集，考生相片和人脸特征信息数据通过高考报名系统和省教育考试院官微小程序采集。其他考生信息由考生登录高考报名系统录入。考生姓名中无法输入的生僻字使用支持国标大字符集（GBK）的输入法输入，确实找不到的生僻字用大写拼音字母代替，并在报名确认时向学校、社会报名点申请备案正确姓名。</w:t>
      </w:r>
    </w:p>
    <w:p>
      <w:r>
        <w:t>（三）信息采集要求</w:t>
      </w:r>
    </w:p>
    <w:p>
      <w:r>
        <w:t>1.各区教育行政部门要确保辖区内各学校在报名工作开始前配置好身份证阅读器和人脸采集设备，并认真组织系统测试和操作培训，熟悉考生报名及现场确认流程（附件12）。</w:t>
      </w:r>
    </w:p>
    <w:p>
      <w:r>
        <w:t>2.对网上报名阶段无法正常采集并上传相片的考生，工作人员须现场核查考生与身份证信息是否一致，并现场审核或重新采集相片。</w:t>
      </w:r>
    </w:p>
    <w:p>
      <w:r>
        <w:t>3.考生信息采集完成后，各学校应打印《广东省2025年普通高校招生统一考试考生报名表》给考生核对确认，考生确认无误后签名，并由学校工作人员收回放入档案内。</w:t>
      </w:r>
    </w:p>
    <w:p>
      <w:r>
        <w:t>4.报名结束后，各学校须将姓名中有生僻字而无法录入系统的考生姓名、考生号造册连同考生身份证复印件上报，由各学校汇总后于2024年11月11日统一上报市招考办。并按要求完成考生资格核验、数据核准、统计等相关工作。</w:t>
      </w:r>
    </w:p>
    <w:p>
      <w:r>
        <w:t>八、加分和优先录取资格</w:t>
      </w:r>
    </w:p>
    <w:p>
      <w:r>
        <w:t>（一）申报范围</w:t>
      </w:r>
    </w:p>
    <w:p>
      <w:r>
        <w:t>在《2025年普通高考加分资格考生信息采集分类表》（附件13）《2025年普通高考同等条件下优先录取资格考生信息采集分类表》（附件14）中，凡信息点代码栏未注明“不需采集”的加分资格和优先录取资格类型，均在普通高考报名时申报。</w:t>
      </w:r>
    </w:p>
    <w:p>
      <w:r>
        <w:t>（二）申报材料</w:t>
      </w:r>
    </w:p>
    <w:p>
      <w:r>
        <w:t>符合有关加分资格和优先录取资格的考生向学校（报名点）提出申请，申请受理截止日期为2024年11月10日。未在截止日期前提出申请的考生视为自动放弃加分资格和优先录取资格。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3.参加普通高考的自主就业的退役士兵，向报名点提出加分资格申请时需提供本人《退出现役证》和身份证原件及复印件。《退出现役证》需复印封面及内页（考生号第5位为“8”，无需提出加分资格申请）。</w:t>
      </w:r>
    </w:p>
    <w:p>
      <w:r>
        <w:t>（三）资格审核</w:t>
      </w:r>
    </w:p>
    <w:p>
      <w:r>
        <w:t>1.初审。各学校对申报2025年普通高考加分资格和优先录取资格的考生原始材料及其复印件进行初审，并于2024年11月25日前将经初审通过的考生信息录入高考报名系统。当考生符合多项资格时，在系统中可以多选，并按本、专科层次选择高分项输入。</w:t>
      </w:r>
    </w:p>
    <w:p>
      <w:r>
        <w:t>2.复核。各学校录入完成后在网上打印出《2025年符合普通高考加分资格考生复核表》（附件15，以下简称《复核表》）《2025年符合普通高考同等条件下优先录取条件资格考生备案表》（附件16，以下简称《备案表》），并按《复核表》《备案表》中名单顺序分别整理申请加分资格、优先录取资格的考生证明材料复印件（每份复印件上须标注“此件与原件一致”字样，加盖公章，签署核准人姓名和日期）。《复核表》加盖公章后连同相关考生证明材料复印件于2024年11月28日前报送市招考办复核，《备案表》及相关考生证明材料复印件由各学校（报名点）核准备案。</w:t>
      </w:r>
    </w:p>
    <w:p>
      <w:r>
        <w:t>3.公示。省教育考试院复核后，将符合普通高考考生加分资格名单在省教育考试院网站予以公示，公示信息保留至2025年年底，接受社会监督。未经公示的考生不能获得相关加分资格。</w:t>
      </w:r>
    </w:p>
    <w:p>
      <w:r>
        <w:t>（四）另行采集类型</w:t>
      </w:r>
    </w:p>
    <w:p>
      <w:r>
        <w:t>1.军人子女（含军人烈士子女）考生</w:t>
      </w:r>
    </w:p>
    <w:p>
      <w:r>
        <w:t>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考生所在学校负责将本校参加高考的军人子女名单（考生号、姓名、性别、优待类别）和相关证明材料汇总在规定时间直接报深圳市征兵办（联系电话：0755-83353522），由省军区政治部干部处审定后汇总造册报省招生办公室。省招生办将根据省军区政治部干部处审核结果，在省教育考试院网站上公示通过审核的加分资格考生名单。</w:t>
      </w:r>
    </w:p>
    <w:p>
      <w:r>
        <w:t>2.消防救援人员及其子女（含消防救援人员烈士子女）考生</w:t>
      </w:r>
    </w:p>
    <w:p>
      <w:r>
        <w:t>根据《应急管理部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3.“三侨生”、少数民族考生</w:t>
      </w:r>
    </w:p>
    <w:p>
      <w:r>
        <w:t>省招生办将继续联合省侨办、省民宗委对三侨生、少数民族聚居区少数民族考生的资格进行核准确认，以保证三侨生、少数民族聚居区少数民族考生录取的公平公正。三侨生的资格审核工作按广东省人民政府侨务办公室 广东省招生委员会办公室 《关于印发〈广东省人民政府侨务办公室广东省招生委员会办公室广东省公安厅关于报考普通高校入学考试的“三侨生”身份确认工作规定〉的通知》（粤侨办〔2021〕1号）《深圳市招生考试办公室关于转发做好2025年度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九、体检</w:t>
      </w:r>
    </w:p>
    <w:p>
      <w:r>
        <w:t>（一）所有参加2025年普通高考录取的考生应参加普通高考体检。</w:t>
      </w:r>
    </w:p>
    <w:p>
      <w:r>
        <w:t>（二）时间安排。普通高考体检时间为高考报名后至2025年2月23日。参加2025年春季高考高职分类招生录取的考生，复检时间安排在2025年2月26日至28日期间，复检后需修正数据的，须于2025年3月3日前上报市招考办。高考补报名考生的体检时间安排在2025年3月份，4月10日前完成体检数据（含复检修正数据）上报。仅参加6月份夏季高考招生录取的考生，复检时间安排在2025年6月11日至13日期间，复检后需修正数据的，须于2025年6月11日至21日期间上报市招考办。</w:t>
      </w:r>
    </w:p>
    <w:p>
      <w:r>
        <w:t>（三）2025年普通高校考试招生体检工作具体要求另文通知。</w:t>
      </w:r>
    </w:p>
    <w:p>
      <w:r>
        <w:t>十、建档</w:t>
      </w:r>
    </w:p>
    <w:p>
      <w:r>
        <w:t>（一）建立考生电子档案</w:t>
      </w:r>
    </w:p>
    <w:p>
      <w:r>
        <w:t>各学校在考生报名确认工作结束后，要组织专人做好考生电子档案建立工作。按照省教育考试院有关建立电子档案的要求和标准，准确录入考生的普通高中学业水平考试成绩、综合素质评价、体检情况，并确保电子档案准确无误。</w:t>
      </w:r>
    </w:p>
    <w:p>
      <w:r>
        <w:t>（二）建立考生纸质档案</w:t>
      </w:r>
    </w:p>
    <w:p>
      <w:r>
        <w:t>应届生和往届生纸质档案由必备材料和补充材料两部分组成。</w:t>
      </w:r>
    </w:p>
    <w:p>
      <w:r>
        <w:t>1.必备材料：</w:t>
      </w:r>
    </w:p>
    <w:p>
      <w:r>
        <w:t>（1）高级中等教育学籍档案；</w:t>
      </w:r>
    </w:p>
    <w:p>
      <w:r>
        <w:t>（2）广东省中学生德育考核表（包括学生每学年的自我鉴定等，此表为省委教育工委、省教育厅制）；</w:t>
      </w:r>
    </w:p>
    <w:p>
      <w:r>
        <w:t>（3）高级中等教育毕业证书或同等学力证明复印件；</w:t>
      </w:r>
    </w:p>
    <w:p>
      <w:r>
        <w:t>（4）广东省2025年普通高校招生统一考试考生报名表；</w:t>
      </w:r>
    </w:p>
    <w:p>
      <w:r>
        <w:t>（5）广东省2025年普通高校招生统一考试考生体格检查表；</w:t>
      </w:r>
    </w:p>
    <w:p>
      <w:r>
        <w:t>（6）广东省中学生体育合格标准考核成绩登记表或国家学生体质健康标准登记卡或免于执行国家学生体质健康标准申请表；</w:t>
      </w:r>
    </w:p>
    <w:p>
      <w:r>
        <w:t>（7）身份证（或军人身份证）、户口簿复印件；</w:t>
      </w:r>
    </w:p>
    <w:p>
      <w:r>
        <w:t>（8）广东省2025年普通高校招生统一考试考生诚信考试承诺书。</w:t>
      </w:r>
    </w:p>
    <w:p>
      <w:r>
        <w:t>2.补充材料：</w:t>
      </w:r>
    </w:p>
    <w:p>
      <w:r>
        <w:t>（9）职业技能证书复印件（“3+证书”考生用）；</w:t>
      </w:r>
    </w:p>
    <w:p>
      <w:r>
        <w:t>（10）团籍材料：入团申请书、入团志愿书、中学生入团积极分子发展对象培养考察表、团员奖惩材料、共青团基本义务告知函（共青团员考生用）。</w:t>
      </w:r>
    </w:p>
    <w:p>
      <w:r>
        <w:t>（11）单位或居委会的证明、鉴定；</w:t>
      </w:r>
    </w:p>
    <w:p>
      <w:r>
        <w:t>（12）少数民族聚居区少数民族考生审核表；</w:t>
      </w:r>
    </w:p>
    <w:p>
      <w:r>
        <w:t>（13）广东省2025年普通高考报名应届毕业生学籍户籍审核表（户籍从外省迁入我省的应届毕业生使用）；</w:t>
      </w:r>
    </w:p>
    <w:p>
      <w:r>
        <w:t>（14）广东省2025年普通高考报名往届毕业生资格审核表（户籍从外省迁入我省的往届毕业生用）；</w:t>
      </w:r>
    </w:p>
    <w:p>
      <w:r>
        <w:t>（15）广东省进城务工人员随迁子女高考报名资格审核表（随迁子女考生用）；</w:t>
      </w:r>
    </w:p>
    <w:p>
      <w:r>
        <w:t>（16）地级市侨办核发的“归侨青年、归侨子女、华侨在国内的子女身份证明”；</w:t>
      </w:r>
    </w:p>
    <w:p>
      <w:r>
        <w:t>（17）广东省2025年普通高校招收特殊专业考生体检表（填报有关院校特殊专业考生用）；</w:t>
      </w:r>
    </w:p>
    <w:p>
      <w:r>
        <w:t>（18）符合省招生委员会规定的录取新生有关照顾政策的奖状或证明材料复印件（如烈士子女的有关证明材料）及其他证明学生获奖情况的相关材料。</w:t>
      </w:r>
    </w:p>
    <w:p>
      <w:r>
        <w:t>（19）退出现役证复印件（退役军人用）。</w:t>
      </w:r>
    </w:p>
    <w:p>
      <w:r>
        <w:t>应届普通高中毕业生纸介质材料应包括（1）—（8）项内容；其他社会人员的纸介质材料包括上述（3）—（8）项目内容；报考3+证书考试的退役军人纸介质材料包括（3）（4）（5）（7）（8）。有其他档案材料的可同时提供。</w:t>
      </w:r>
    </w:p>
    <w:p>
      <w:r>
        <w:t>凡属于复印件的材料，须由检验员签名、写明日期，加盖学校公章。</w:t>
      </w:r>
    </w:p>
    <w:p>
      <w:r>
        <w:t>（三）建立考生档案的具体要求</w:t>
      </w:r>
    </w:p>
    <w:p>
      <w:r>
        <w:t>1．2025年考生档案须添加“广东省XX市普通高校招生考生档案材料目录”清单，并在目录每一项表格后面加空括号。有材料的在清单中相应括号内打“√”，并将档案材料按序装订成册。</w:t>
      </w:r>
    </w:p>
    <w:p>
      <w:r>
        <w:t>2．各学校在考生档案材料上签署意见和结论时，应对考生高度负责，必须用词准确、文字规范。如需对考生的某方面内容进行特殊说明，可另加附页。</w:t>
      </w:r>
    </w:p>
    <w:p>
      <w:r>
        <w:t>十一、工作要求</w:t>
      </w:r>
    </w:p>
    <w:p>
      <w:r>
        <w:t>（一）根据《广东省教育厅关于印发广东省普通高中学业水平考试实施办法的通知》（粤教考〔2019〕18号）和《广东省教育厅关于延用〈广东省普通高中学业水平考试实施办法〉的通知》（粤教考〔2024〕13号），2025年普通高中应届毕业生须在2025年7月前，通过普通高中学业水平合格性考试，并取得高中毕业学历，才能正常进行录取和入学。其他高中阶段学校应届毕业生，也需取得高中阶段毕业学历，才能正常进行录取和入学。</w:t>
      </w:r>
    </w:p>
    <w:p>
      <w:r>
        <w:t>（二）考生提交各种报考资格证明材料时，须确保真实性，不得弄虚作假。凡弄虚作假、提交虚假证明的，何时发现，何时取消报考资格，已经录取的，取消录取资格。</w:t>
      </w:r>
    </w:p>
    <w:p>
      <w:r>
        <w:t>（三）各区教育行政部门要对各学校的报名工作加强检查和指导，做好社会考生报考和服务工作。各学校要指定一名校领导负责高考报名工作的开展进行统筹管理。在报名工作开始前做好各项准备工作，精心组织，避免拥挤、混乱的情况发生。要准备好电脑、打印机、身份证阅读器、摄像头、人脸识别等硬件设施，并提前完成各环节的测试，确保各种设备在正式报名时能正常使用。</w:t>
      </w:r>
    </w:p>
    <w:p>
      <w:r>
        <w:t>（四）各学校要配备足够的工作人员，并挑选工作责任心强、熟悉报考业务的教师负责报考工作。同时要加强内部管理，科学合理设置报名流程，制定高考报名工作管理规定，明确工作人员岗位责任，尤其要指定专人负责管理高考报名系统的密码，确保考生报考信息安全和保密。</w:t>
      </w:r>
    </w:p>
    <w:p>
      <w:r>
        <w:t>（五）各学校要组织高三年级教师、教务负责人，尤其是班主任认真学习省、市关于2025年普通高考报名工作的相关政策、规定和文件精神，准确把握有关考生报考的各项规定，严格执行报名条件规定。加强对报名工作人员报考业务培训，提高业务能力，尤其要加强考生户籍、学籍、随迁子女资格和实际就读情况等条件的审核，严把报名资格审查关。要进一步加强对报名工作人员的法律和纪律教育，严守工作纪律，严禁报名工作人员参与弄虚作假骗取报名资格的行为。</w:t>
      </w:r>
    </w:p>
    <w:p>
      <w:r>
        <w:t>（六）如国家及省对普通高考报考条件及其他方面有新的规定和要求，将按国家及省规定执行。</w:t>
      </w:r>
    </w:p>
    <w:p>
      <w:r>
        <w:t>附件：1.考生属性与考试科目之间关系的说明</w:t>
      </w:r>
    </w:p>
    <w:p>
      <w:r>
        <w:t>2.2025年普通高考社会报名点安排表</w:t>
      </w:r>
    </w:p>
    <w:p>
      <w:r>
        <w:t>3.考生类型与报名材料对应表</w:t>
      </w:r>
    </w:p>
    <w:p>
      <w:r>
        <w:t>4.广东省2025年普通高校招生统一考试考生诚信考试承诺书</w:t>
      </w:r>
    </w:p>
    <w:p>
      <w:r>
        <w:t>5.广东省2025年普通高校招生统一考试报名实施细则</w:t>
      </w:r>
    </w:p>
    <w:p>
      <w:r>
        <w:t>6.广东省2025年普通高考报名应届毕业生学籍户籍审核表（户籍从外省迁入我省的应届生填写）</w:t>
      </w:r>
    </w:p>
    <w:p>
      <w:r>
        <w:t>7.广东省2025年普通高考报名往届毕业生报名资格审核表（户籍从外省迁入我省的往届生填写）</w:t>
      </w:r>
    </w:p>
    <w:p>
      <w:r>
        <w:t>8.广东省进城务工人员随迁子女高考报名资格审核表（随迁子女考生填写）</w:t>
      </w:r>
    </w:p>
    <w:p>
      <w:r>
        <w:t>9.残疾人报考广东省2025年普通高考合理便利申请表</w:t>
      </w:r>
    </w:p>
    <w:p>
      <w:r>
        <w:t>10.残疾人报考广东省2025年普通高考合理便利专家评估表</w:t>
      </w:r>
    </w:p>
    <w:p>
      <w:r>
        <w:t>11.2025年“3+专业技能课程证书”考试证书目录</w:t>
      </w:r>
    </w:p>
    <w:p>
      <w:r>
        <w:t>12.广东省2025年普通高校招生统一考试网上报名简要工作流程</w:t>
      </w:r>
    </w:p>
    <w:p>
      <w:r>
        <w:t>13.2025年普通高考加分资格考生信息采集分类表</w:t>
      </w:r>
    </w:p>
    <w:p>
      <w:r>
        <w:t>14.2025年普通高考同等条件下优先录取资格考生信息采集分类表</w:t>
      </w:r>
    </w:p>
    <w:p>
      <w:r>
        <w:t>15.2025年符合普通高考加分资格考生复核表</w:t>
      </w:r>
    </w:p>
    <w:p>
      <w:r>
        <w:t>16.2025年符合普通高考同等条件下优先录取条件资格考生备案表</w:t>
      </w:r>
    </w:p>
    <w:p>
      <w:r>
        <w:t>17.只能报考高职（专科）批次院校考生名单汇总表</w:t>
      </w:r>
    </w:p>
    <w:p>
      <w:r>
        <w:drawing>
          <wp:inline xmlns:a="http://schemas.openxmlformats.org/drawingml/2006/main" xmlns:pic="http://schemas.openxmlformats.org/drawingml/2006/picture">
            <wp:extent cx="6400800" cy="7074568"/>
            <wp:docPr id="1" name="Picture 1"/>
            <wp:cNvGraphicFramePr>
              <a:graphicFrameLocks noChangeAspect="1"/>
            </wp:cNvGraphicFramePr>
            <a:graphic>
              <a:graphicData uri="http://schemas.openxmlformats.org/drawingml/2006/picture">
                <pic:pic>
                  <pic:nvPicPr>
                    <pic:cNvPr id="0" name="84d7948cd86bbc332a6a.png"/>
                    <pic:cNvPicPr/>
                  </pic:nvPicPr>
                  <pic:blipFill>
                    <a:blip r:embed="rId11"/>
                    <a:stretch>
                      <a:fillRect/>
                    </a:stretch>
                  </pic:blipFill>
                  <pic:spPr>
                    <a:xfrm>
                      <a:off x="0" y="0"/>
                      <a:ext cx="6400800" cy="7074568"/>
                    </a:xfrm>
                    <a:prstGeom prst="rect"/>
                  </pic:spPr>
                </pic:pic>
              </a:graphicData>
            </a:graphic>
          </wp:inline>
        </w:drawing>
      </w:r>
    </w:p>
    <w:p>
      <w:r>
        <w:drawing>
          <wp:inline xmlns:a="http://schemas.openxmlformats.org/drawingml/2006/main" xmlns:pic="http://schemas.openxmlformats.org/drawingml/2006/picture">
            <wp:extent cx="6400800" cy="4126213"/>
            <wp:docPr id="2" name="Picture 2"/>
            <wp:cNvGraphicFramePr>
              <a:graphicFrameLocks noChangeAspect="1"/>
            </wp:cNvGraphicFramePr>
            <a:graphic>
              <a:graphicData uri="http://schemas.openxmlformats.org/drawingml/2006/picture">
                <pic:pic>
                  <pic:nvPicPr>
                    <pic:cNvPr id="0" name="3b958909555676bd9d3e.png"/>
                    <pic:cNvPicPr/>
                  </pic:nvPicPr>
                  <pic:blipFill>
                    <a:blip r:embed="rId12"/>
                    <a:stretch>
                      <a:fillRect/>
                    </a:stretch>
                  </pic:blipFill>
                  <pic:spPr>
                    <a:xfrm>
                      <a:off x="0" y="0"/>
                      <a:ext cx="6400800" cy="412621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4721"/>
            <wp:docPr id="3" name="Picture 3"/>
            <wp:cNvGraphicFramePr>
              <a:graphicFrameLocks noChangeAspect="1"/>
            </wp:cNvGraphicFramePr>
            <a:graphic>
              <a:graphicData uri="http://schemas.openxmlformats.org/drawingml/2006/picture">
                <pic:pic>
                  <pic:nvPicPr>
                    <pic:cNvPr id="0" name="7988ef3a8d5e53056d0f9cc3077665848bad0ca4-000.png"/>
                    <pic:cNvPicPr/>
                  </pic:nvPicPr>
                  <pic:blipFill>
                    <a:blip r:embed="rId13"/>
                    <a:stretch>
                      <a:fillRect/>
                    </a:stretch>
                  </pic:blipFill>
                  <pic:spPr>
                    <a:xfrm>
                      <a:off x="0" y="0"/>
                      <a:ext cx="6400799" cy="380472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805963"/>
            <wp:docPr id="4" name="Picture 4"/>
            <wp:cNvGraphicFramePr>
              <a:graphicFrameLocks noChangeAspect="1"/>
            </wp:cNvGraphicFramePr>
            <a:graphic>
              <a:graphicData uri="http://schemas.openxmlformats.org/drawingml/2006/picture">
                <pic:pic>
                  <pic:nvPicPr>
                    <pic:cNvPr id="0" name="7988ef3a8d5e53056d0f9cc3077665848bad0ca4-001.png"/>
                    <pic:cNvPicPr/>
                  </pic:nvPicPr>
                  <pic:blipFill>
                    <a:blip r:embed="rId14"/>
                    <a:stretch>
                      <a:fillRect/>
                    </a:stretch>
                  </pic:blipFill>
                  <pic:spPr>
                    <a:xfrm>
                      <a:off x="0" y="0"/>
                      <a:ext cx="6400799" cy="480596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670"/>
            <wp:docPr id="5" name="Picture 5"/>
            <wp:cNvGraphicFramePr>
              <a:graphicFrameLocks noChangeAspect="1"/>
            </wp:cNvGraphicFramePr>
            <a:graphic>
              <a:graphicData uri="http://schemas.openxmlformats.org/drawingml/2006/picture">
                <pic:pic>
                  <pic:nvPicPr>
                    <pic:cNvPr id="0" name="5d032f8b9e2c97d86390acc670f4d49507b95cff-000.png"/>
                    <pic:cNvPicPr/>
                  </pic:nvPicPr>
                  <pic:blipFill>
                    <a:blip r:embed="rId15"/>
                    <a:stretch>
                      <a:fillRect/>
                    </a:stretch>
                  </pic:blipFill>
                  <pic:spPr>
                    <a:xfrm>
                      <a:off x="0" y="0"/>
                      <a:ext cx="6400800" cy="380367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14847"/>
            <wp:docPr id="6" name="Picture 6"/>
            <wp:cNvGraphicFramePr>
              <a:graphicFrameLocks noChangeAspect="1"/>
            </wp:cNvGraphicFramePr>
            <a:graphic>
              <a:graphicData uri="http://schemas.openxmlformats.org/drawingml/2006/picture">
                <pic:pic>
                  <pic:nvPicPr>
                    <pic:cNvPr id="0" name="5d032f8b9e2c97d86390acc670f4d49507b95cff-001.png"/>
                    <pic:cNvPicPr/>
                  </pic:nvPicPr>
                  <pic:blipFill>
                    <a:blip r:embed="rId16"/>
                    <a:stretch>
                      <a:fillRect/>
                    </a:stretch>
                  </pic:blipFill>
                  <pic:spPr>
                    <a:xfrm>
                      <a:off x="0" y="0"/>
                      <a:ext cx="6400800" cy="461484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26"/>
            <wp:docPr id="7" name="Picture 7"/>
            <wp:cNvGraphicFramePr>
              <a:graphicFrameLocks noChangeAspect="1"/>
            </wp:cNvGraphicFramePr>
            <a:graphic>
              <a:graphicData uri="http://schemas.openxmlformats.org/drawingml/2006/picture">
                <pic:pic>
                  <pic:nvPicPr>
                    <pic:cNvPr id="0" name="64f0bcd2d53732ae06b8c889f777604d6297f640-000.png"/>
                    <pic:cNvPicPr/>
                  </pic:nvPicPr>
                  <pic:blipFill>
                    <a:blip r:embed="rId17"/>
                    <a:stretch>
                      <a:fillRect/>
                    </a:stretch>
                  </pic:blipFill>
                  <pic:spPr>
                    <a:xfrm>
                      <a:off x="0" y="0"/>
                      <a:ext cx="6400800" cy="380982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63753"/>
            <wp:docPr id="8" name="Picture 8"/>
            <wp:cNvGraphicFramePr>
              <a:graphicFrameLocks noChangeAspect="1"/>
            </wp:cNvGraphicFramePr>
            <a:graphic>
              <a:graphicData uri="http://schemas.openxmlformats.org/drawingml/2006/picture">
                <pic:pic>
                  <pic:nvPicPr>
                    <pic:cNvPr id="0" name="64f0bcd2d53732ae06b8c889f777604d6297f640-001.png"/>
                    <pic:cNvPicPr/>
                  </pic:nvPicPr>
                  <pic:blipFill>
                    <a:blip r:embed="rId18"/>
                    <a:stretch>
                      <a:fillRect/>
                    </a:stretch>
                  </pic:blipFill>
                  <pic:spPr>
                    <a:xfrm>
                      <a:off x="0" y="0"/>
                      <a:ext cx="6400800" cy="4663753"/>
                    </a:xfrm>
                    <a:prstGeom prst="rect"/>
                  </pic:spPr>
                </pic:pic>
              </a:graphicData>
            </a:graphic>
          </wp:inline>
        </w:drawing>
      </w:r>
    </w:p>
    <w:p>
      <w:r>
        <w:drawing>
          <wp:inline xmlns:a="http://schemas.openxmlformats.org/drawingml/2006/main" xmlns:pic="http://schemas.openxmlformats.org/drawingml/2006/picture">
            <wp:extent cx="6400800" cy="7596172"/>
            <wp:docPr id="9" name="Picture 9"/>
            <wp:cNvGraphicFramePr>
              <a:graphicFrameLocks noChangeAspect="1"/>
            </wp:cNvGraphicFramePr>
            <a:graphic>
              <a:graphicData uri="http://schemas.openxmlformats.org/drawingml/2006/picture">
                <pic:pic>
                  <pic:nvPicPr>
                    <pic:cNvPr id="0" name="b4b7f9e11d05b9489212.png"/>
                    <pic:cNvPicPr/>
                  </pic:nvPicPr>
                  <pic:blipFill>
                    <a:blip r:embed="rId19"/>
                    <a:stretch>
                      <a:fillRect/>
                    </a:stretch>
                  </pic:blipFill>
                  <pic:spPr>
                    <a:xfrm>
                      <a:off x="0" y="0"/>
                      <a:ext cx="6400800" cy="7596172"/>
                    </a:xfrm>
                    <a:prstGeom prst="rect"/>
                  </pic:spPr>
                </pic:pic>
              </a:graphicData>
            </a:graphic>
          </wp:inline>
        </w:drawing>
      </w:r>
    </w:p>
    <w:p>
      <w:r>
        <w:t>附件1-17.wps</w:t>
      </w:r>
    </w:p>
    <w:p>
      <w:pPr>
        <w:pStyle w:val="Heading1"/>
      </w:pPr>
      <w:r>
        <w:t>附件及下载链接</w:t>
      </w:r>
    </w:p>
    <w:p>
      <w:hyperlink r:id="rId20">
        <w:r>
          <w:rPr>
            <w:color w:val="18548A"/>
          </w:rPr>
          <w:t>附件1-17.wps</w:t>
        </w:r>
      </w:hyperlink>
    </w:p>
    <w:p>
      <w:r>
        <w:rPr>
          <w:sz w:val="16"/>
        </w:rPr>
        <w:t>https://szeb.sz.gov.cn/attachment/1/1496/1496974/11642592.wps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642592.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szeb.sz.gov.cn/attachment/1/1496/1496974/11642592.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