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2023年我省普通专升本成绩排位规则是什么？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2023-01-28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https://eea.gd.gov.cn/dawenku/zcwj/content/post_4086234.html</w:t>
        </w:r>
      </w:hyperlink>
    </w:p>
    <w:p/>
    <w:p>
      <w:r>
        <w:t>2023年我省普通专升本采用依据院校专业组的平行志愿投档模式，即根据考生成绩排位和填报的院校专业组志愿进行投档录取。考生成绩具体排位规则如下：</w:t>
      </w:r>
    </w:p>
    <w:p>
      <w:r>
        <w:t>1.不同科目组（含省统考科目组和院校自命题科目组）分开、单独排位。</w:t>
      </w:r>
    </w:p>
    <w:p>
      <w:r>
        <w:t>2.根据考生四科总分（含加分）从高到低确定投档位序。四科总分（含加分）相同时，比较四科总分（不含加分）高低，高者优先。</w:t>
      </w:r>
    </w:p>
    <w:p>
      <w:r>
        <w:t>四科总分（不含加分）仍相同时，比较三科总分高低，高者优先。</w:t>
      </w:r>
    </w:p>
    <w:p>
      <w:r>
        <w:t>三科总分仍相同时，按以下原则进行排序：</w:t>
      </w:r>
    </w:p>
    <w:p>
      <w:r>
        <w:t>第一位序，比较专业基础课成绩高低，高者优先。</w:t>
      </w:r>
    </w:p>
    <w:p>
      <w:r>
        <w:t>第二位序，比较公共课中政治理论科目成绩高低，高者优先。</w:t>
      </w:r>
    </w:p>
    <w:p>
      <w:r>
        <w:t>第三位序，除外国语言文学类中非英语类专业外，比较公共课中英语科目成绩高低，高者优先。外国语言文学类中非英语类专业，比较专业课成绩高低，高者优先。</w:t>
      </w:r>
    </w:p>
    <w:p>
      <w:r>
        <w:t>第四位序，比较专业综合课成绩高低，高者优先。</w:t>
      </w:r>
    </w:p>
    <w:p>
      <w:r>
        <w:t>第五位序，单科成绩均相同的同时投档。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0862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