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深圳市举办2025年高中阶段选科与生涯规划培训会</w:t>
      </w:r>
    </w:p>
    <w:p>
      <w:r>
        <w:rPr>
          <w:sz w:val="18"/>
        </w:rPr>
        <w:t>整理归属  深圳市招生考试办公室</w:t>
      </w:r>
    </w:p>
    <w:p>
      <w:r>
        <w:rPr>
          <w:sz w:val="18"/>
        </w:rPr>
        <w:t>发布日期  2024-12-06</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https://szeb.sz.gov.cn/szzkw/zkgg/gkxx/content/post_11856442.html</w:t>
        </w:r>
      </w:hyperlink>
    </w:p>
    <w:p/>
    <w:p>
      <w:r>
        <w:t>广东新高考已落地实施四年，深圳市按照省的要求，牢牢把握高考改革的正确方向，全面落实“立德树人”根本任务，始终把促进学生健康成长成才作为新高考改革的出发点和落脚点。一直以来，市教育局、市招考办非常重视深圳高中阶段学生的选科和生涯规划工作。为进一步加强对我市高中学校考试升学工作的指导，加强升学辅导员队伍建设，提高各学校高中生选科与生涯规划等考试升学指导工作的专业水平，12月3日，市招考办在香港中文大学（深圳）举办2025年深圳高中阶段选科与生涯规划培训会议。</w:t>
      </w:r>
    </w:p>
    <w:p>
      <w:r>
        <w:t>市招考办主任肖伟峰出席会议并作动员讲话，香港中文大学（深圳）副校长朱世平为培训会致辞，会议还邀请有关高校专家解读综合评价招生模式、剖析新高考背景下中学生的生涯选择，同时深圳市生涯规划与发展协会专家们就高中阶段选科组合、生涯规划指导、大学专业选择等方面进行系列专题培训。会议指出，深圳高考近年来呈现“两多一快”的趋势，即考生人数多、新增考点多、考生增速快。而新高考改革背景下，广东省采取的是“3+1+2”高考选科模式，合理选择考试科目显得至关重要。不同科目组合在高考竞争激烈程度、高校录取机会、高校专业选择等方面存在一定差异。这促使高中生必须将职业生涯规划提前考虑，融入到高考选科阶段，从而对高中生提出了更高的挑战，同时也对学校和教师的指导能力提出了更高的期望。因此，建立一支专业化的工作队伍，提升对广大学生选科、生涯规划等方面的指导能力显得尤为重要。</w:t>
      </w:r>
    </w:p>
    <w:p>
      <w:r>
        <w:t>会议强调，学校升学辅导员、班主任、相关学科教师等人员要把握培训机会，认真学习，总结经验，为后续选科指导、生涯规划等工作的开展奠定坚实基础。各高中学校与教师，一方面要深度了解学生对于高考选科的认识情况与选科意愿，做好选科指导工作，在保障学生自主选择的同时兼顾国家人才培养和建设发展的需要；另一方面要积极对学生进行生涯规划辅导，增强学生规划自觉，拓宽学生规划视野，避免因数据壁垒和信息不对称造成的“盲选盲从”，提高学生在选科中的自我评估与选择能力。</w:t>
      </w:r>
    </w:p>
    <w:p>
      <w:r>
        <w:t>全市各高中学校近500人参加了本次培训会。大家普遍反映本次培训针对性强、内容丰富，能帮助学生更好“规划脚下路，攀登未来峰”，将为他们在学校进一步加强学生选科与生涯规划指导工作打下良好基础。</w:t>
      </w:r>
    </w:p>
    <w:p>
      <w:r>
        <w:drawing>
          <wp:inline xmlns:a="http://schemas.openxmlformats.org/drawingml/2006/main" xmlns:pic="http://schemas.openxmlformats.org/drawingml/2006/picture">
            <wp:extent cx="6400800" cy="4272534"/>
            <wp:docPr id="1" name="Picture 1"/>
            <wp:cNvGraphicFramePr>
              <a:graphicFrameLocks noChangeAspect="1"/>
            </wp:cNvGraphicFramePr>
            <a:graphic>
              <a:graphicData uri="http://schemas.openxmlformats.org/drawingml/2006/picture">
                <pic:pic>
                  <pic:nvPicPr>
                    <pic:cNvPr id="0" name="ca8874c0346b9d8c4e9c.png"/>
                    <pic:cNvPicPr/>
                  </pic:nvPicPr>
                  <pic:blipFill>
                    <a:blip r:embed="rId11"/>
                    <a:stretch>
                      <a:fillRect/>
                    </a:stretch>
                  </pic:blipFill>
                  <pic:spPr>
                    <a:xfrm>
                      <a:off x="0" y="0"/>
                      <a:ext cx="6400800" cy="427253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856442.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