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3月1日至2日，深圳市将举行2025年普通高考英语听说考试</w:t>
      </w:r>
    </w:p>
    <w:p>
      <w:r>
        <w:rPr>
          <w:sz w:val="18"/>
        </w:rPr>
        <w:t>整理归属  深圳市招生考试办公室</w:t>
      </w:r>
    </w:p>
    <w:p>
      <w:r>
        <w:rPr>
          <w:sz w:val="18"/>
        </w:rPr>
        <w:t>发布日期  2025-02-25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https://szeb.sz.gov.cn/szzkw/qt/tzgg/content/post_12042491.html</w:t>
        </w:r>
      </w:hyperlink>
    </w:p>
    <w:p>
      <w:r>
        <w:t xml:space="preserve">同文来源  </w:t>
      </w:r>
      <w:hyperlink r:id="rId11">
        <w:r>
          <w:rPr>
            <w:color w:val="18548A"/>
          </w:rPr>
          <w:t>https://szeb.sz.gov.cn/szzkw/zkgg/gkxx/content/post_12042480.html</w:t>
        </w:r>
      </w:hyperlink>
    </w:p>
    <w:p/>
    <w:p>
      <w:r>
        <w:t>根据广东省教育考试院统一部署，深圳市2025年普通高考英语听说考试将于3月1日至2日进行，全市在11个区共设74个考点，具体考试场次安排由各考点学校根据考生人数统筹确定。</w:t>
      </w:r>
    </w:p>
    <w:p>
      <w:r>
        <w:t>为确保我市普通高考英语听说考试平安顺利实施，市、区教育行政部门精心组织，周密部署。2月25日，省教育考试院召开全省英语听说考试考务视频培训会，对今年的英语听说考试做了动员部署。随后，我市套开全市考务工作培训会，会议强调：高考英语听说考试是夏季高考的重要组成部分，各区、各学校要强化责任担当，始终做到以考生为中心，坚持服务导向，加强统筹协调，凝聚工作合力，把工作抓得更扎实一些，把方案做得更细致一些，确保职责范围内的每个考点、每个环节都万无一失。</w:t>
      </w:r>
    </w:p>
    <w:p>
      <w:r>
        <w:t>按省教育考试院的要求，市招考办全力以赴做好考试各项准备工作。一是做好考点设置。要求各考点严格按照省、市的规定进行设置，确保考场布局合理，考试设备齐全，监控有效，结合考点物品存放点等建设要求，科学合理设置考试封闭警戒区。二是严格执行考试场地管理规定。考试期间，考试场所（含候考室、备考室、考场）实行封闭式管理，禁止非考试工作人员进入考试场所。坚决杜绝相关人员进入考试场所带读或引导考生带读的现象发生。三是加强考生诚信考试教育。要求各学校重点加强《国家教育考试违规处理办法》《中华人民共和国刑法修正案（九）》《最高人民法院 最高人民检察院关于办理组织考试作弊等刑事案件适用法律若干问题的解释》等法律法规和相关警示案例的学习，敦促考生自觉遵守各项考试纪律和规章制度，形成良好的学风、考风。</w:t>
      </w:r>
    </w:p>
    <w:p>
      <w:r>
        <w:t>市招考办温馨提示</w:t>
      </w:r>
    </w:p>
    <w:p>
      <w:r>
        <w:t>一、考生应讲诚信并自觉服从监考员等考试工作人员管理，自觉接受考试工作人员使用金属探测仪、人脸识别身份验证设备等进行安全检查，不得以任何理由妨碍监考员等考试工作人员履行职责，不得扰乱考场及其他考试工作场所的秩序。</w:t>
      </w:r>
    </w:p>
    <w:p>
      <w:r>
        <w:t>二、每个时段开考前45分钟起，考点组织对考生进行安全检查和身份核验。确认考生身份无误，且未携带手机等通讯工具及考试相关资料等违禁物品后，考生进入考点候考室。考生进入考点（候考室）须核验准考证、身份证。证件不齐的考生，未经考点工作人员核实并允许，不得进入考点候考室。准考证正、反两面在使用期间均不得涂改、书写或做标记。</w:t>
      </w:r>
    </w:p>
    <w:p>
      <w:r>
        <w:t>三、考生应在每个时段开考前30分钟进入考点候考室。每场次开考前15分钟，备考室的考生由考务员引导进入考场，并凭准考证、身份证参加考试。</w:t>
      </w:r>
    </w:p>
    <w:p>
      <w:r>
        <w:t>四、每个时段开考前15分钟，禁止迟到考生进入考试场所（含候考室、备考室、考场）。考试结束后，考生方可出场，考试中途不准离开考场。出场后，考生不准在考试考场附近逗留或交谈。</w:t>
      </w:r>
    </w:p>
    <w:p>
      <w:r>
        <w:t>五、考生可携带钢笔或铅笔进入考场，以备必要时便于记录。严禁携带无线通讯工具、电子存储记忆录放设备以及学习资料等物品进入考试场所（含候考室、备考室、考场）。</w:t>
      </w:r>
    </w:p>
    <w:p>
      <w:r>
        <w:t>六、考生进入考场后，应将准考证、身份证放在桌面上，以便核验。</w:t>
      </w:r>
    </w:p>
    <w:p>
      <w:r>
        <w:t>七、考生领取草稿纸，自觉服从监考员的指挥，不得随意开启和移动计算机等相关设备，只能按指令在键盘上输入自己的考生号，按系统提示进入“等待考试”状态，等待“开始考试”指令的发出。考生擅自关闭计算机、拔掉网线、拔掉电源，造成停机、数据不能传输的，取消考生英语听说考试资格。</w:t>
      </w:r>
    </w:p>
    <w:p>
      <w:r>
        <w:t>八、考试开始，输入考号后如遇未能进入“等待考试”状态，或在考试过程中出现计算机死机或不能录音等故障问题，考生可举手询问，待监考人员处理。考生不得向监考人员询问涉及试题内容的问题。</w:t>
      </w:r>
    </w:p>
    <w:p>
      <w:r>
        <w:t>九、考生在考场内应保持安静，不准随意离位走动，不准吸烟，不准喧哗，不准交头接耳，不准做考试以外的动作（如拨弄计算机开关、电源线、耳机线等）。要独立思考，独立完成答卷。</w:t>
      </w:r>
    </w:p>
    <w:p>
      <w:r>
        <w:t>十、考生应在指定的候考室候考，不准随便进出，不得与已考考生接触，否则按考试违纪处理。</w:t>
      </w:r>
    </w:p>
    <w:p>
      <w:r>
        <w:t>十一、考试终了，确认考生答案全部上传至服务器后，系统管理员启动“考试完毕”指令按钮，对考生答案进行打包。考生等待监考员回收草稿纸，然后由考务员按指定的路线带考生离开考场。</w:t>
      </w:r>
    </w:p>
    <w:p>
      <w:r>
        <w:t>十二、严格遵守考场纪律。对于有违规或舞弊行为的考生，将按照《国家教育考试违规处理办法》（教育部令第33号），视情节轻重，分别给予取消该科考试成绩、取消当年度高考所有科目成绩等处理。涉嫌违法的，移送司法机关，依法依规追究法律责任。</w:t>
      </w:r>
    </w:p>
    <w:p>
      <w:r>
        <w:t>十三、各考点于2月28日16:00-17:30向考生开放，考生可根据准考证上的考点名称提前到考点熟悉赴考路线，预估赴考所需时间以及赴考路线和交通工具。</w:t>
      </w:r>
    </w:p>
    <w:p>
      <w:r>
        <w:t>请考生自觉遵守考场纪律，认真备考，诚信应考，祝各位考生取得好成绩！</w:t>
      </w:r>
    </w:p>
    <w:p>
      <w:r>
        <w:drawing>
          <wp:inline xmlns:a="http://schemas.openxmlformats.org/drawingml/2006/main" xmlns:pic="http://schemas.openxmlformats.org/drawingml/2006/picture">
            <wp:extent cx="6400800" cy="8012317"/>
            <wp:docPr id="1" name="Picture 1"/>
            <wp:cNvGraphicFramePr>
              <a:graphicFrameLocks noChangeAspect="1"/>
            </wp:cNvGraphicFramePr>
            <a:graphic>
              <a:graphicData uri="http://schemas.openxmlformats.org/drawingml/2006/picture">
                <pic:pic>
                  <pic:nvPicPr>
                    <pic:cNvPr id="0" name="47b3fc975f10f00d4fbe.png"/>
                    <pic:cNvPicPr/>
                  </pic:nvPicPr>
                  <pic:blipFill>
                    <a:blip r:embed="rId12"/>
                    <a:stretch>
                      <a:fillRect/>
                    </a:stretch>
                  </pic:blipFill>
                  <pic:spPr>
                    <a:xfrm>
                      <a:off x="0" y="0"/>
                      <a:ext cx="6400800" cy="8012317"/>
                    </a:xfrm>
                    <a:prstGeom prst="rect"/>
                  </pic:spPr>
                </pic:pic>
              </a:graphicData>
            </a:graphic>
          </wp:inline>
        </w:drawing>
      </w:r>
    </w:p>
    <w:p>
      <w:r>
        <w:drawing>
          <wp:inline xmlns:a="http://schemas.openxmlformats.org/drawingml/2006/main" xmlns:pic="http://schemas.openxmlformats.org/drawingml/2006/picture">
            <wp:extent cx="6400800" cy="7917701"/>
            <wp:docPr id="2" name="Picture 2"/>
            <wp:cNvGraphicFramePr>
              <a:graphicFrameLocks noChangeAspect="1"/>
            </wp:cNvGraphicFramePr>
            <a:graphic>
              <a:graphicData uri="http://schemas.openxmlformats.org/drawingml/2006/picture">
                <pic:pic>
                  <pic:nvPicPr>
                    <pic:cNvPr id="0" name="66afe47a05b486438d47.png"/>
                    <pic:cNvPicPr/>
                  </pic:nvPicPr>
                  <pic:blipFill>
                    <a:blip r:embed="rId13"/>
                    <a:stretch>
                      <a:fillRect/>
                    </a:stretch>
                  </pic:blipFill>
                  <pic:spPr>
                    <a:xfrm>
                      <a:off x="0" y="0"/>
                      <a:ext cx="6400800" cy="7917701"/>
                    </a:xfrm>
                    <a:prstGeom prst="rect"/>
                  </pic:spPr>
                </pic:pic>
              </a:graphicData>
            </a:graphic>
          </wp:inline>
        </w:drawing>
      </w:r>
    </w:p>
    <w:p>
      <w:r>
        <w:drawing>
          <wp:inline xmlns:a="http://schemas.openxmlformats.org/drawingml/2006/main" xmlns:pic="http://schemas.openxmlformats.org/drawingml/2006/picture">
            <wp:extent cx="6400799" cy="7803124"/>
            <wp:docPr id="3" name="Picture 3"/>
            <wp:cNvGraphicFramePr>
              <a:graphicFrameLocks noChangeAspect="1"/>
            </wp:cNvGraphicFramePr>
            <a:graphic>
              <a:graphicData uri="http://schemas.openxmlformats.org/drawingml/2006/picture">
                <pic:pic>
                  <pic:nvPicPr>
                    <pic:cNvPr id="0" name="16ae51c7e338264334db.png"/>
                    <pic:cNvPicPr/>
                  </pic:nvPicPr>
                  <pic:blipFill>
                    <a:blip r:embed="rId14"/>
                    <a:stretch>
                      <a:fillRect/>
                    </a:stretch>
                  </pic:blipFill>
                  <pic:spPr>
                    <a:xfrm>
                      <a:off x="0" y="0"/>
                      <a:ext cx="6400799" cy="7803124"/>
                    </a:xfrm>
                    <a:prstGeom prst="rect"/>
                  </pic:spPr>
                </pic:pic>
              </a:graphicData>
            </a:graphic>
          </wp:inline>
        </w:drawing>
      </w:r>
    </w:p>
    <w:p>
      <w:r>
        <w:drawing>
          <wp:inline xmlns:a="http://schemas.openxmlformats.org/drawingml/2006/main" xmlns:pic="http://schemas.openxmlformats.org/drawingml/2006/picture">
            <wp:extent cx="6400800" cy="7983607"/>
            <wp:docPr id="4" name="Picture 4"/>
            <wp:cNvGraphicFramePr>
              <a:graphicFrameLocks noChangeAspect="1"/>
            </wp:cNvGraphicFramePr>
            <a:graphic>
              <a:graphicData uri="http://schemas.openxmlformats.org/drawingml/2006/picture">
                <pic:pic>
                  <pic:nvPicPr>
                    <pic:cNvPr id="0" name="f4dd32114728a40db263.png"/>
                    <pic:cNvPicPr/>
                  </pic:nvPicPr>
                  <pic:blipFill>
                    <a:blip r:embed="rId15"/>
                    <a:stretch>
                      <a:fillRect/>
                    </a:stretch>
                  </pic:blipFill>
                  <pic:spPr>
                    <a:xfrm>
                      <a:off x="0" y="0"/>
                      <a:ext cx="6400800" cy="7983607"/>
                    </a:xfrm>
                    <a:prstGeom prst="rect"/>
                  </pic:spPr>
                </pic:pic>
              </a:graphicData>
            </a:graphic>
          </wp:inline>
        </w:drawing>
      </w:r>
    </w:p>
    <w:p>
      <w:r>
        <w:drawing>
          <wp:inline xmlns:a="http://schemas.openxmlformats.org/drawingml/2006/main" xmlns:pic="http://schemas.openxmlformats.org/drawingml/2006/picture">
            <wp:extent cx="6400800" cy="7344451"/>
            <wp:docPr id="5" name="Picture 5"/>
            <wp:cNvGraphicFramePr>
              <a:graphicFrameLocks noChangeAspect="1"/>
            </wp:cNvGraphicFramePr>
            <a:graphic>
              <a:graphicData uri="http://schemas.openxmlformats.org/drawingml/2006/picture">
                <pic:pic>
                  <pic:nvPicPr>
                    <pic:cNvPr id="0" name="05ec63f5210cb219927b.png"/>
                    <pic:cNvPicPr/>
                  </pic:nvPicPr>
                  <pic:blipFill>
                    <a:blip r:embed="rId16"/>
                    <a:stretch>
                      <a:fillRect/>
                    </a:stretch>
                  </pic:blipFill>
                  <pic:spPr>
                    <a:xfrm>
                      <a:off x="0" y="0"/>
                      <a:ext cx="6400800" cy="7344451"/>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042491.html" TargetMode="External"/><Relationship Id="rId11" Type="http://schemas.openxmlformats.org/officeDocument/2006/relationships/hyperlink" Target="https://szeb.sz.gov.cn/szzkw/zkgg/gkxx/content/post_12042480.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