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广东省2026年全国硕士研究生招生考试顺利结束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2025-12-21</w:t>
      </w:r>
    </w:p>
    <w:p>
      <w:r>
        <w:rPr>
          <w:sz w:val="18"/>
        </w:rPr>
        <w:t>来源  中国政府网</w:t>
      </w:r>
    </w:p>
    <w:p>
      <w:r>
        <w:rPr>
          <w:sz w:val="18"/>
        </w:rPr>
        <w:t>栏目  大图新闻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https://eea.gd.gov.cn/banner/content/post_4832261.html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https://eea.gd.gov.cn/yjsks/content/post_4832262.html</w:t>
        </w:r>
      </w:hyperlink>
    </w:p>
    <w:p/>
    <w:p>
      <w:r>
        <w:t>12月21日，我省2026年全国硕士研究生招生考试（初试）顺利结束。全省19.11万考生报名参加考试，共设133个考点，6546个考场。各项工作规范有序，圆满实现“平安研考”目标。</w:t>
      </w:r>
    </w:p>
    <w:p>
      <w:r>
        <w:t>全省各地、各高校和有关部门认真落实教育部和省委、省政府工作要求，扎实做好试卷管理、考务组织、队伍建设、考场周边综合治理等工作，全力维护研考安全稳定。</w:t>
      </w:r>
    </w:p>
    <w:p>
      <w:r>
        <w:drawing>
          <wp:inline xmlns:a="http://schemas.openxmlformats.org/drawingml/2006/main" xmlns:pic="http://schemas.openxmlformats.org/drawingml/2006/picture">
            <wp:extent cx="6400800" cy="48006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703a2416dac112ca2eb32aa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800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406348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92ef8e39c81d0c50310c28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0634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我省聚焦试卷运送、交接、保管等重点环节，加强人防、物防和技防，对所有考点保密室实施智能巡检，确保试卷安全保密；加强考务培训，落实“部—省—市（高校）—考点”四级培训机制，持续开展考务、巡考全员全过程的专题培训和考核，落细落实各项组考要求。严格落实教育部“六位一体”工作要求，全省所有考点配齐智能安检门、人脸识别终端、5G信号屏蔽仪等设备，实行“智能安检+手持金属探测仪”双安检模式，确保手机、智能电子设备等不能带入封闭考场区域。实施考生人脸识别系统核验，实现“考生流”精准管控，从源头杜绝替考行为。实行考场内信号屏蔽与考场外无线电监测“双管控”、现场监考与智能监考“双巡查”、保密室智能巡检和考点智能巡查“双覆盖”措施。切实守好“试卷关”“入场关”“手机关”“考场关”，全力守护考试公平底线。</w:t>
      </w:r>
    </w:p>
    <w:p>
      <w:r>
        <w:drawing>
          <wp:inline xmlns:a="http://schemas.openxmlformats.org/drawingml/2006/main" xmlns:pic="http://schemas.openxmlformats.org/drawingml/2006/picture">
            <wp:extent cx="6400800" cy="4267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206d7fd2859b1b613d5e11fc13fca6d416727f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7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42672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0c1f9f3bbb6217002840b32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7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今年继续强化特殊考生关爱服务，为30名残疾考生提供盲文试卷、专用通道、调整考场座位等合理便利，保障每一位考生平等参考的权利。全体考务人员以高度的责任感，提前到岗、规范操作，全力保障考试平稳顺畅。各考点充分考虑考生实际需要，为考生提供指引标识、物品寄存、志愿者服务、应急物资准备等，不少高校为考生开放食堂、图书馆和休息场所等，尽可能为考生营造舒适、温馨的考试环境。</w:t>
      </w:r>
    </w:p>
    <w:p>
      <w:r>
        <w:t>后续初试成绩公布、复试分数线公布、一志愿复试及调剂录取工作将按照教育部统一安排陆续进行，请考生密切关注广东省教育考试院官网、官微的最新公告。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banner/content/post_4832261.html" TargetMode="External"/><Relationship Id="rId11" Type="http://schemas.openxmlformats.org/officeDocument/2006/relationships/hyperlink" Target="https://eea.gd.gov.cn/yjsks/content/post_4832262.html" TargetMode="External"/><Relationship Id="rId12" Type="http://schemas.openxmlformats.org/officeDocument/2006/relationships/image" Target="media/image1.jp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