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深圳市招生考试办公室关于做好我市2026年普通高考补报名工作的通知</w:t>
      </w:r>
    </w:p>
    <w:p>
      <w:r>
        <w:rPr>
          <w:sz w:val="18"/>
        </w:rPr>
        <w:t>整理归属  深圳市招生考试办公室</w:t>
      </w:r>
    </w:p>
    <w:p>
      <w:r>
        <w:rPr>
          <w:sz w:val="18"/>
        </w:rPr>
        <w:t>发布日期  2026-02-11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https://szeb.sz.gov.cn/szzkw/qt/tzgg/content/post_12642668.html</w:t>
        </w:r>
      </w:hyperlink>
    </w:p>
    <w:p>
      <w:r>
        <w:t xml:space="preserve">同文来源  </w:t>
      </w:r>
      <w:hyperlink r:id="rId11">
        <w:r>
          <w:rPr>
            <w:color w:val="18548A"/>
          </w:rPr>
          <w:t>https://szeb.sz.gov.cn/szzkw/zkgg/gkxx/content/post_12642629.html</w:t>
        </w:r>
      </w:hyperlink>
    </w:p>
    <w:p/>
    <w:p>
      <w:r>
        <w:t>各区（大鹏新区、深汕特别合作区）教育行政部门，各普通高中、中职（技工）学校，各社会报名点：</w:t>
      </w:r>
    </w:p>
    <w:p>
      <w:r>
        <w:t>根据广东省招生委员会办公室《关于做好广东省2026年普通高考考生补报名工作的通知》（粤招办普〔2025〕52号）精神，为满足符合我省高考报名条件，但因各种原因尚未报名人员的需求，经省教育考试院研究，决定安排一次高考补报名。为做好我市2026年普通高考补报名工作，有关事宜通知如下：</w:t>
      </w:r>
    </w:p>
    <w:p>
      <w:r>
        <w:t>一、补报名时间</w:t>
      </w:r>
    </w:p>
    <w:p>
      <w:r>
        <w:t>2026年3月2日至4日。</w:t>
      </w:r>
    </w:p>
    <w:p>
      <w:r>
        <w:t>二、补报名范围和条件</w:t>
      </w:r>
    </w:p>
    <w:p>
      <w:r>
        <w:t>报名资格和条件严格按照《深圳市招生考试委员会关于做好我市2026年普通高校招生统一考试报名工作的通知》（深招考委〔2025〕4号）执行。</w:t>
      </w:r>
    </w:p>
    <w:p>
      <w:r>
        <w:t>鉴于补报名时我省2026年普通高考体育、艺术类专业省统考，普通高等学校招收中等职业学校毕业生统一考试（即“3+证书”考试）和依学考成绩录取的相关考试已经结束，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（一）考生注册。考生应先进入广东省普通高考报名系统（网址为：https://pg.eeagd.edu.cn/ks），凭姓名、证件号注册考生账号，设置密码，并绑定手机号。</w:t>
      </w:r>
    </w:p>
    <w:p>
      <w:r>
        <w:t>（二）报名资格初核。报名前，考生应准备好符合我省报考资格的相关证明材料（含身份证、户口簿、学籍学历等材料），在所就读学校或社会报名点（咨询时间：9:00—12:00，14:00—17:00）进行报名资格初核。考生属性与考试科目之间关系的说明见附件1，考生类型与所需报名材料清单见附件2。</w:t>
      </w:r>
    </w:p>
    <w:p>
      <w:r>
        <w:t>高中应届毕业生可由所就读学校事先核准考生报考条件和材料，到报名点集体办理报考手续。高中往届毕业生、社会人员须持报名材料到市招考办指定的社会报名点办理报考手续。经初核符合我省高考报名条件的考生，由报名点派发考生号。考生须提供真实的报名材料（含加分和优先录取资格材料），如发现弄虚作假情况的，将严肃处理。</w:t>
      </w:r>
    </w:p>
    <w:p>
      <w:r>
        <w:t>（三）网上报名。凭考生号和注册时设置的密码登录广东省普通高考报名系统进行网上报名。网上报名时，考生应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相片，并缴纳报考费。上传的报名材料支持JPG/PNG/PDF文件格式，大小不超过2M，其中身份证要求上传正反两面、户口簿要求上传首页、户主页、父/母亲或监护人页、考生本人页，考生可提前准备好电子文档，方便报名时上传。</w:t>
      </w:r>
    </w:p>
    <w:p>
      <w:r>
        <w:t>（四）确认报名。网上报名完成后，考生还须在规定时间内持二代（或三代）身份证、户口簿、学籍学历等证明材料到学校、社会报名点办理确认报名手续。确认报名手续包括确认报名资格、校对和核准报考信息等。具体报名办法按《深圳市招生考试委员会关于做好我市2026年普通高校招生统一考试报名工作的通知》（深招考委〔2025〕4号）附件的附5进行。</w:t>
      </w:r>
    </w:p>
    <w:p>
      <w:r>
        <w:t>四、加分和优先录取资格</w:t>
      </w:r>
    </w:p>
    <w:p>
      <w:r>
        <w:t>符合有关加分资格和优先录取资格的考生向所在报名点提出申请，申请受理截止日期为2026年3月4日。未在截止日期前提出申请的考生视为自动放弃加分资格和优先录取资格。其他要求见《深圳市招生考试委员会关于做好我市2026年普通高校招生统一考试报名工作的通知》（深招考委〔2025〕4号）。</w:t>
      </w:r>
    </w:p>
    <w:p>
      <w:r>
        <w:t>五、体检</w:t>
      </w:r>
    </w:p>
    <w:p>
      <w:r>
        <w:t>补报名考生的体检工作按照《关于做好2026年普通高校招生体检工作的通知》（深招考委〔2025〕5号）执行。考生须在学校统一安排下，于规定时间内完成体检，具体时间由各区（含大鹏新区、深汕特别合作区，下同）教育行政部门与体检医院商定，统一时间，集中体检。</w:t>
      </w:r>
    </w:p>
    <w:p>
      <w:r>
        <w:t>六、其他要求</w:t>
      </w:r>
    </w:p>
    <w:p>
      <w:r>
        <w:t>（一）各区教育行政部门、各有关学校要高度重视，按照《广东省普通高校招生统一考试报名工作管理办法（暂行）》（粤招办〔2022〕16号）的相关要求精心组织、严格管理，认真做好高考补报名工作，充分运用联网学籍、户籍数据审核考生报考资格，严格落实我省高考报名政策，严把资格审核关，确保我省2026年普通高考考生补报名工作顺利进行。</w:t>
      </w:r>
    </w:p>
    <w:p>
      <w:r>
        <w:t>（二）考生提交各种报考资格证明材料时，应确保真实性，不得弄虚作假。凡弄虚作假、提交虚假证明的，一经发现，取消报考资格，已经录取的，取消录取资格。</w:t>
      </w:r>
    </w:p>
    <w:p>
      <w:r>
        <w:t>（三）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考生本人的姓名、身份证号码、性别、户籍地、毕业学校等基本信息，以及外语语种、选考科目等报考科目信息均要仔细核对准确，考试科目一旦选定无特殊原因不予更改。</w:t>
      </w:r>
    </w:p>
    <w:p>
      <w:r>
        <w:t>（四）市招考办对外咨询电话：82181999。补报名期间，省教育考试院下发的通知，市招考办将及时发布在“深圳招考网”和官方微信公众号上，各区教育行政部门、各学校要及时查阅办理。</w:t>
      </w:r>
    </w:p>
    <w:p>
      <w:r>
        <w:t>附件：1.考生属性与考试科目之间关系的说明</w:t>
      </w:r>
    </w:p>
    <w:p>
      <w:r>
        <w:t>2.考生类型与报名材料对应表</w:t>
      </w:r>
    </w:p>
    <w:p>
      <w:r>
        <w:t>3.广东省2026年普通高考补报名考生诚信考试承诺书</w:t>
      </w:r>
    </w:p>
    <w:p>
      <w:r>
        <w:t>4.2026年普通高考社会报名点安排表</w:t>
      </w:r>
    </w:p>
    <w:p>
      <w:r>
        <w:t>深圳市招生考试办公室</w:t>
      </w:r>
    </w:p>
    <w:p>
      <w:r>
        <w:t>2026年2月11日</w:t>
      </w:r>
    </w:p>
    <w:p>
      <w:r>
        <w:drawing>
          <wp:inline xmlns:a="http://schemas.openxmlformats.org/drawingml/2006/main" xmlns:pic="http://schemas.openxmlformats.org/drawingml/2006/picture">
            <wp:extent cx="6400800" cy="4534256"/>
            <wp:docPr id="1" name="Picture 1"/>
            <wp:cNvGraphicFramePr>
              <a:graphicFrameLocks noChangeAspect="1"/>
            </wp:cNvGraphicFramePr>
            <a:graphic>
              <a:graphicData uri="http://schemas.openxmlformats.org/drawingml/2006/picture">
                <pic:pic>
                  <pic:nvPicPr>
                    <pic:cNvPr id="0" name="d95b83798de0ca1ab8da.png"/>
                    <pic:cNvPicPr/>
                  </pic:nvPicPr>
                  <pic:blipFill>
                    <a:blip r:embed="rId12"/>
                    <a:stretch>
                      <a:fillRect/>
                    </a:stretch>
                  </pic:blipFill>
                  <pic:spPr>
                    <a:xfrm>
                      <a:off x="0" y="0"/>
                      <a:ext cx="6400800" cy="45342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128"/>
            <wp:docPr id="2" name="Picture 2"/>
            <wp:cNvGraphicFramePr>
              <a:graphicFrameLocks noChangeAspect="1"/>
            </wp:cNvGraphicFramePr>
            <a:graphic>
              <a:graphicData uri="http://schemas.openxmlformats.org/drawingml/2006/picture">
                <pic:pic>
                  <pic:nvPicPr>
                    <pic:cNvPr id="0" name="0a052de38eaf24b5c394746aa219850f9fe72c97-000.png"/>
                    <pic:cNvPicPr/>
                  </pic:nvPicPr>
                  <pic:blipFill>
                    <a:blip r:embed="rId13"/>
                    <a:stretch>
                      <a:fillRect/>
                    </a:stretch>
                  </pic:blipFill>
                  <pic:spPr>
                    <a:xfrm>
                      <a:off x="0" y="0"/>
                      <a:ext cx="6400800" cy="380312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84127"/>
            <wp:docPr id="3" name="Picture 3"/>
            <wp:cNvGraphicFramePr>
              <a:graphicFrameLocks noChangeAspect="1"/>
            </wp:cNvGraphicFramePr>
            <a:graphic>
              <a:graphicData uri="http://schemas.openxmlformats.org/drawingml/2006/picture">
                <pic:pic>
                  <pic:nvPicPr>
                    <pic:cNvPr id="0" name="0a052de38eaf24b5c394746aa219850f9fe72c97-001.png"/>
                    <pic:cNvPicPr/>
                  </pic:nvPicPr>
                  <pic:blipFill>
                    <a:blip r:embed="rId14"/>
                    <a:stretch>
                      <a:fillRect/>
                    </a:stretch>
                  </pic:blipFill>
                  <pic:spPr>
                    <a:xfrm>
                      <a:off x="0" y="0"/>
                      <a:ext cx="6400800" cy="45841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609"/>
            <wp:docPr id="4" name="Picture 4"/>
            <wp:cNvGraphicFramePr>
              <a:graphicFrameLocks noChangeAspect="1"/>
            </wp:cNvGraphicFramePr>
            <a:graphic>
              <a:graphicData uri="http://schemas.openxmlformats.org/drawingml/2006/picture">
                <pic:pic>
                  <pic:nvPicPr>
                    <pic:cNvPr id="0" name="bc6f31235fd5c37a93f7f10c197639e1e700e449-000.png"/>
                    <pic:cNvPicPr/>
                  </pic:nvPicPr>
                  <pic:blipFill>
                    <a:blip r:embed="rId15"/>
                    <a:stretch>
                      <a:fillRect/>
                    </a:stretch>
                  </pic:blipFill>
                  <pic:spPr>
                    <a:xfrm>
                      <a:off x="0" y="0"/>
                      <a:ext cx="6400800" cy="380760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76811"/>
            <wp:docPr id="5" name="Picture 5"/>
            <wp:cNvGraphicFramePr>
              <a:graphicFrameLocks noChangeAspect="1"/>
            </wp:cNvGraphicFramePr>
            <a:graphic>
              <a:graphicData uri="http://schemas.openxmlformats.org/drawingml/2006/picture">
                <pic:pic>
                  <pic:nvPicPr>
                    <pic:cNvPr id="0" name="bc6f31235fd5c37a93f7f10c197639e1e700e449-001.png"/>
                    <pic:cNvPicPr/>
                  </pic:nvPicPr>
                  <pic:blipFill>
                    <a:blip r:embed="rId16"/>
                    <a:stretch>
                      <a:fillRect/>
                    </a:stretch>
                  </pic:blipFill>
                  <pic:spPr>
                    <a:xfrm>
                      <a:off x="0" y="0"/>
                      <a:ext cx="6400800" cy="5076811"/>
                    </a:xfrm>
                    <a:prstGeom prst="rect"/>
                  </pic:spPr>
                </pic:pic>
              </a:graphicData>
            </a:graphic>
          </wp:inline>
        </w:drawing>
      </w:r>
    </w:p>
    <w:p>
      <w:r>
        <w:drawing>
          <wp:inline xmlns:a="http://schemas.openxmlformats.org/drawingml/2006/main" xmlns:pic="http://schemas.openxmlformats.org/drawingml/2006/picture">
            <wp:extent cx="6400800" cy="7972352"/>
            <wp:docPr id="6" name="Picture 6"/>
            <wp:cNvGraphicFramePr>
              <a:graphicFrameLocks noChangeAspect="1"/>
            </wp:cNvGraphicFramePr>
            <a:graphic>
              <a:graphicData uri="http://schemas.openxmlformats.org/drawingml/2006/picture">
                <pic:pic>
                  <pic:nvPicPr>
                    <pic:cNvPr id="0" name="8bdbf286bd54d6d8573e.png"/>
                    <pic:cNvPicPr/>
                  </pic:nvPicPr>
                  <pic:blipFill>
                    <a:blip r:embed="rId17"/>
                    <a:stretch>
                      <a:fillRect/>
                    </a:stretch>
                  </pic:blipFill>
                  <pic:spPr>
                    <a:xfrm>
                      <a:off x="0" y="0"/>
                      <a:ext cx="6400800" cy="7972352"/>
                    </a:xfrm>
                    <a:prstGeom prst="rect"/>
                  </pic:spPr>
                </pic:pic>
              </a:graphicData>
            </a:graphic>
          </wp:inline>
        </w:drawing>
      </w:r>
    </w:p>
    <w:p>
      <w:r>
        <w:drawing>
          <wp:inline xmlns:a="http://schemas.openxmlformats.org/drawingml/2006/main" xmlns:pic="http://schemas.openxmlformats.org/drawingml/2006/picture">
            <wp:extent cx="6400800" cy="3853460"/>
            <wp:docPr id="7" name="Picture 7"/>
            <wp:cNvGraphicFramePr>
              <a:graphicFrameLocks noChangeAspect="1"/>
            </wp:cNvGraphicFramePr>
            <a:graphic>
              <a:graphicData uri="http://schemas.openxmlformats.org/drawingml/2006/picture">
                <pic:pic>
                  <pic:nvPicPr>
                    <pic:cNvPr id="0" name="37fdb1cba4c0a3d2646e.png"/>
                    <pic:cNvPicPr/>
                  </pic:nvPicPr>
                  <pic:blipFill>
                    <a:blip r:embed="rId18"/>
                    <a:stretch>
                      <a:fillRect/>
                    </a:stretch>
                  </pic:blipFill>
                  <pic:spPr>
                    <a:xfrm>
                      <a:off x="0" y="0"/>
                      <a:ext cx="6400800" cy="385346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42668.html" TargetMode="External"/><Relationship Id="rId11" Type="http://schemas.openxmlformats.org/officeDocument/2006/relationships/hyperlink" Target="https://szeb.sz.gov.cn/szzkw/zkgg/gkxx/content/post_1264262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