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2021年普通高考无纸化体检服务项目和高考报名体检考生身份识别服务项目招标公告</w:t>
      </w:r>
    </w:p>
    <w:p>
      <w:r>
        <w:rPr>
          <w:sz w:val="18"/>
        </w:rPr>
        <w:t>整理归属  深圳市招生考试办公室</w:t>
      </w:r>
    </w:p>
    <w:p>
      <w:r>
        <w:rPr>
          <w:sz w:val="18"/>
        </w:rPr>
        <w:t>发布日期  2020-11-10</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https://szeb.sz.gov.cn/szzkw/qtxx/content/post_8948948.html</w:t>
        </w:r>
      </w:hyperlink>
    </w:p>
    <w:p/>
    <w:p>
      <w:r>
        <w:t>根据工作需要，我单位决定就“2021年普通高考无纸化体检服务项目”和“2021高考报名体检考生身份识别服务项目”进行招标，欢迎符合资格的公司参与投标。有关事项说明如下：</w:t>
      </w:r>
    </w:p>
    <w:p>
      <w:r>
        <w:t>一、有关情况及服务内容</w:t>
      </w:r>
    </w:p>
    <w:p>
      <w:r>
        <w:t>（一）招标目的</w:t>
      </w:r>
    </w:p>
    <w:p>
      <w:r>
        <w:t>为了有效解决了传统高考体检模式存在的流程复杂、管理困难、耗时费力、劳动强度高、体检结论不规范、纠错难度大等状况和防止替检跨区域体检，错检、漏检、错填、漏填、字迹不清、结论不准确等现象的发生。现启动高考信息化体检服务项目（简称：无纸化体检项目）和高考报名体检考生身份识别服务项目（简称：体检身份识别项目）招标采购工作。</w:t>
      </w:r>
    </w:p>
    <w:p>
      <w:r>
        <w:t>（二） 项目预算</w:t>
      </w:r>
    </w:p>
    <w:p>
      <w:r>
        <w:t>本项目以购买服务方式采购，无纸化体检项目，每个考生体检服务费用不高于2.4元人民币，体检身份识别项目，每个考生身份识别服务费用不高于1.6元人民币，含信息化体检系统、身份验证终端设备和技术支持、培训及设备收发等工作。供应商应在报价中明确说明每位考生体检服务和身份识别服务费用。</w:t>
      </w:r>
    </w:p>
    <w:p>
      <w:r>
        <w:t>（三） 投标要求</w:t>
      </w:r>
    </w:p>
    <w:p>
      <w:r>
        <w:t>1、投标人具有独立法人资格（提供合法有效的证书扫描件，原件备查）。</w:t>
      </w:r>
    </w:p>
    <w:p>
      <w:r>
        <w:t>2、本项目不接受联合体投标。</w:t>
      </w:r>
    </w:p>
    <w:p>
      <w:r>
        <w:t>3、本次服务采购金额报价每个考生体检服务费用不高于2.4元人民币，身份识别服务不高于1.6元人民币，否则视为废标。</w:t>
      </w:r>
    </w:p>
    <w:p>
      <w:r>
        <w:t>4、投标人不得将本项目承包给第三方（提供承诺书，格式自拟）。</w:t>
      </w:r>
    </w:p>
    <w:p>
      <w:r>
        <w:t>（三）项目背景及服务内容</w:t>
      </w:r>
    </w:p>
    <w:p>
      <w:r>
        <w:t>详见《2021年普通高考无纸化体检服务和身份识别服务项目需求》(附件1)。</w:t>
      </w:r>
    </w:p>
    <w:p>
      <w:r>
        <w:t>二、投标文件编制有关要求</w:t>
      </w:r>
    </w:p>
    <w:p>
      <w:r>
        <w:t>贵公司如决定参加投标，请按以下要求编制投标文件1式5份，其中正本1份，副本4份（投标文件的正本及所有副本的封面均须加盖投标人法人公章、加盖骑缝法人公章，并按要求编制好目录及页码等信息），内容包括但不限于：</w:t>
      </w:r>
    </w:p>
    <w:p>
      <w:r>
        <w:t>（一）贵单位简介，加盖公章的相关证书、资质复印件。</w:t>
      </w:r>
    </w:p>
    <w:p>
      <w:r>
        <w:t>（二）本次服务的设计方案。</w:t>
      </w:r>
    </w:p>
    <w:p>
      <w:r>
        <w:t>（三）本次服务报价（以人民币为计量单位）。</w:t>
      </w:r>
    </w:p>
    <w:p>
      <w:r>
        <w:t>（四）诚信承诺书(见附件2)</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“投标文件北京时间2020年11月17日14：00之前不得启封”的字样。</w:t>
      </w:r>
    </w:p>
    <w:p>
      <w:r>
        <w:t>3、 如果封套未按投标人须知要求密封和加写标记，招标人对误投或过早启封概不负责。</w:t>
      </w:r>
    </w:p>
    <w:p>
      <w:r>
        <w:t>（二）投标截止时间</w:t>
      </w:r>
    </w:p>
    <w:p>
      <w:r>
        <w:t>1、投标文件递交开始时间：北京时间2020年11月10日。</w:t>
      </w:r>
    </w:p>
    <w:p>
      <w:r>
        <w:t>2、投标文件递交截止时间：北京时间2020年11月17日11：00。</w:t>
      </w:r>
    </w:p>
    <w:p>
      <w:r>
        <w:t>3、投标人务必于截止时间前，将有关文件按要求送达深圳市招生考试办公室综合科232室，地址：深圳市罗湖区泥岗西路1068号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三、开标与评标</w:t>
      </w:r>
    </w:p>
    <w:p>
      <w:r>
        <w:t>（一）开标</w:t>
      </w:r>
    </w:p>
    <w:p>
      <w:r>
        <w:t>1、开标时间：北京时间 2020年11月17日14：00（如与其它工作安排冲突，则开标时间延后）。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2 人组成。</w:t>
      </w:r>
    </w:p>
    <w:p>
      <w:r>
        <w:t>（三）评标原则和方法</w:t>
      </w:r>
    </w:p>
    <w:p>
      <w:pPr>
        <w:keepNext/>
      </w:pPr>
      <w:r>
        <w:t>原图分页 1/4</w:t>
      </w:r>
    </w:p>
    <w:p>
      <w:r>
        <w:drawing>
          <wp:inline xmlns:a="http://schemas.openxmlformats.org/drawingml/2006/main" xmlns:pic="http://schemas.openxmlformats.org/drawingml/2006/picture">
            <wp:extent cx="6400800" cy="3806036"/>
            <wp:docPr id="1" name="Picture 1"/>
            <wp:cNvGraphicFramePr>
              <a:graphicFrameLocks noChangeAspect="1"/>
            </wp:cNvGraphicFramePr>
            <a:graphic>
              <a:graphicData uri="http://schemas.openxmlformats.org/drawingml/2006/picture">
                <pic:pic>
                  <pic:nvPicPr>
                    <pic:cNvPr id="0" name="31734d7c903b49f5e4ea2f9676cd741018319df7-000.png"/>
                    <pic:cNvPicPr/>
                  </pic:nvPicPr>
                  <pic:blipFill>
                    <a:blip r:embed="rId11"/>
                    <a:stretch>
                      <a:fillRect/>
                    </a:stretch>
                  </pic:blipFill>
                  <pic:spPr>
                    <a:xfrm>
                      <a:off x="0" y="0"/>
                      <a:ext cx="6400800" cy="3806036"/>
                    </a:xfrm>
                    <a:prstGeom prst="rect"/>
                  </pic:spPr>
                </pic:pic>
              </a:graphicData>
            </a:graphic>
          </wp:inline>
        </w:drawing>
      </w:r>
    </w:p>
    <w:p>
      <w:pPr>
        <w:keepNext/>
      </w:pPr>
      <w:r>
        <w:t>原图分页 2/4</w:t>
      </w:r>
    </w:p>
    <w:p>
      <w:r>
        <w:drawing>
          <wp:inline xmlns:a="http://schemas.openxmlformats.org/drawingml/2006/main" xmlns:pic="http://schemas.openxmlformats.org/drawingml/2006/picture">
            <wp:extent cx="6400800" cy="8151691"/>
            <wp:docPr id="2" name="Picture 2"/>
            <wp:cNvGraphicFramePr>
              <a:graphicFrameLocks noChangeAspect="1"/>
            </wp:cNvGraphicFramePr>
            <a:graphic>
              <a:graphicData uri="http://schemas.openxmlformats.org/drawingml/2006/picture">
                <pic:pic>
                  <pic:nvPicPr>
                    <pic:cNvPr id="0" name="31734d7c903b49f5e4ea2f9676cd741018319df7-001.png"/>
                    <pic:cNvPicPr/>
                  </pic:nvPicPr>
                  <pic:blipFill>
                    <a:blip r:embed="rId12"/>
                    <a:stretch>
                      <a:fillRect/>
                    </a:stretch>
                  </pic:blipFill>
                  <pic:spPr>
                    <a:xfrm>
                      <a:off x="0" y="0"/>
                      <a:ext cx="6400800" cy="8151691"/>
                    </a:xfrm>
                    <a:prstGeom prst="rect"/>
                  </pic:spPr>
                </pic:pic>
              </a:graphicData>
            </a:graphic>
          </wp:inline>
        </w:drawing>
      </w:r>
    </w:p>
    <w:p>
      <w:pPr>
        <w:keepNext/>
      </w:pPr>
      <w:r>
        <w:t>原图分页 3/4</w:t>
      </w:r>
    </w:p>
    <w:p>
      <w:r>
        <w:drawing>
          <wp:inline xmlns:a="http://schemas.openxmlformats.org/drawingml/2006/main" xmlns:pic="http://schemas.openxmlformats.org/drawingml/2006/picture">
            <wp:extent cx="6400800" cy="8151691"/>
            <wp:docPr id="3" name="Picture 3"/>
            <wp:cNvGraphicFramePr>
              <a:graphicFrameLocks noChangeAspect="1"/>
            </wp:cNvGraphicFramePr>
            <a:graphic>
              <a:graphicData uri="http://schemas.openxmlformats.org/drawingml/2006/picture">
                <pic:pic>
                  <pic:nvPicPr>
                    <pic:cNvPr id="0" name="31734d7c903b49f5e4ea2f9676cd741018319df7-002.png"/>
                    <pic:cNvPicPr/>
                  </pic:nvPicPr>
                  <pic:blipFill>
                    <a:blip r:embed="rId13"/>
                    <a:stretch>
                      <a:fillRect/>
                    </a:stretch>
                  </pic:blipFill>
                  <pic:spPr>
                    <a:xfrm>
                      <a:off x="0" y="0"/>
                      <a:ext cx="6400800" cy="8151691"/>
                    </a:xfrm>
                    <a:prstGeom prst="rect"/>
                  </pic:spPr>
                </pic:pic>
              </a:graphicData>
            </a:graphic>
          </wp:inline>
        </w:drawing>
      </w:r>
    </w:p>
    <w:p>
      <w:pPr>
        <w:keepNext/>
      </w:pPr>
      <w:r>
        <w:t>原图分页 4/4</w:t>
      </w:r>
    </w:p>
    <w:p>
      <w:r>
        <w:drawing>
          <wp:inline xmlns:a="http://schemas.openxmlformats.org/drawingml/2006/main" xmlns:pic="http://schemas.openxmlformats.org/drawingml/2006/picture">
            <wp:extent cx="6400800" cy="264069"/>
            <wp:docPr id="4" name="Picture 4"/>
            <wp:cNvGraphicFramePr>
              <a:graphicFrameLocks noChangeAspect="1"/>
            </wp:cNvGraphicFramePr>
            <a:graphic>
              <a:graphicData uri="http://schemas.openxmlformats.org/drawingml/2006/picture">
                <pic:pic>
                  <pic:nvPicPr>
                    <pic:cNvPr id="0" name="31734d7c903b49f5e4ea2f9676cd741018319df7-003.png"/>
                    <pic:cNvPicPr/>
                  </pic:nvPicPr>
                  <pic:blipFill>
                    <a:blip r:embed="rId14"/>
                    <a:stretch>
                      <a:fillRect/>
                    </a:stretch>
                  </pic:blipFill>
                  <pic:spPr>
                    <a:xfrm>
                      <a:off x="0" y="0"/>
                      <a:ext cx="6400800" cy="264069"/>
                    </a:xfrm>
                    <a:prstGeom prst="rect"/>
                  </pic:spPr>
                </pic:pic>
              </a:graphicData>
            </a:graphic>
          </wp:inline>
        </w:drawing>
      </w:r>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p>
      <w:r>
        <w:drawing>
          <wp:inline xmlns:a="http://schemas.openxmlformats.org/drawingml/2006/main" xmlns:pic="http://schemas.openxmlformats.org/drawingml/2006/picture">
            <wp:extent cx="6400800" cy="1116963"/>
            <wp:docPr id="5" name="Picture 5"/>
            <wp:cNvGraphicFramePr>
              <a:graphicFrameLocks noChangeAspect="1"/>
            </wp:cNvGraphicFramePr>
            <a:graphic>
              <a:graphicData uri="http://schemas.openxmlformats.org/drawingml/2006/picture">
                <pic:pic>
                  <pic:nvPicPr>
                    <pic:cNvPr id="0" name="882dcc6baaa6351781b4.jpg"/>
                    <pic:cNvPicPr/>
                  </pic:nvPicPr>
                  <pic:blipFill>
                    <a:blip r:embed="rId15"/>
                    <a:stretch>
                      <a:fillRect/>
                    </a:stretch>
                  </pic:blipFill>
                  <pic:spPr>
                    <a:xfrm>
                      <a:off x="0" y="0"/>
                      <a:ext cx="6400800" cy="1116963"/>
                    </a:xfrm>
                    <a:prstGeom prst="rect"/>
                  </pic:spPr>
                </pic:pic>
              </a:graphicData>
            </a:graphic>
          </wp:inline>
        </w:drawing>
      </w:r>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如不够三家投标人产生流标，本次招标将重新招标。若出现第二次流标，可采取竞争性谈判或单一来源的方式。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四、纪律与相关事项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有关本次招标之相关事宜，可以向招标人查询。</w:t>
      </w:r>
    </w:p>
    <w:p>
      <w:r>
        <w:t>招标人：深圳市招生考试办公室</w:t>
      </w:r>
    </w:p>
    <w:p>
      <w:r>
        <w:t>联系人：成老师</w:t>
      </w:r>
    </w:p>
    <w:p>
      <w:r>
        <w:t>电  话：0755-82176753</w:t>
      </w:r>
    </w:p>
    <w:p>
      <w:r>
        <w:t>2020年11月10日</w:t>
      </w:r>
    </w:p>
    <w:p>
      <w:r>
        <w:t>2021年普通高考无纸化体检服务和身份识别服务项目需求.docx</w:t>
      </w:r>
    </w:p>
    <w:p>
      <w:pPr>
        <w:pStyle w:val="Heading1"/>
      </w:pPr>
      <w:r>
        <w:t>附件及下载链接</w:t>
      </w:r>
    </w:p>
    <w:p>
      <w:hyperlink r:id="rId16">
        <w:r>
          <w:rPr>
            <w:color w:val="18548A"/>
          </w:rPr>
          <w:t>2021年普通高考无纸化体检服务和身份识别服务项目需求.docx</w:t>
        </w:r>
      </w:hyperlink>
    </w:p>
    <w:p>
      <w:r>
        <w:rPr>
          <w:sz w:val="16"/>
        </w:rPr>
        <w:t>https://szeb.sz.gov.cn/attachment/0/803/803023/8948948.doc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4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hyperlink" Target="https://szeb.sz.gov.cn/attachment/0/803/803023/894894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