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我市2024年普通高考艺术类专业省统考将于12月2日开考</w:t>
      </w:r>
    </w:p>
    <w:p>
      <w:r>
        <w:rPr>
          <w:sz w:val="18"/>
        </w:rPr>
        <w:t>整理归属  深圳市招生考试办公室</w:t>
      </w:r>
    </w:p>
    <w:p>
      <w:r>
        <w:rPr>
          <w:sz w:val="18"/>
        </w:rPr>
        <w:t>发布日期  2023-11-30</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https://szeb.sz.gov.cn/szzkw/zkgg/gkxx/content/post_11016438.html</w:t>
        </w:r>
      </w:hyperlink>
    </w:p>
    <w:p/>
    <w:p>
      <w:r>
        <w:t>按照省教育考试院统一部署，2024年普通高考美术与设计类、书法类、表（导）演（戏剧影视导演方向）笔试科目等艺术类省统考将于2023年12月2至3日举行。我市共设7个考点，美术与设计类统考考点是行知职业技术学校、西乡中学、横岗高级中学、坪山高级中学、深圳艺术高中；书法类统考考点是布吉高级中学；表（导）演类（戏剧影视导演方向）笔试科目统考考点是南头中学。</w:t>
      </w:r>
    </w:p>
    <w:p>
      <w:r>
        <w:t>为做好考试组织工作，根据广东省教育考试院及我市工作要求，市招考办提醒各位考生注意以下事项：</w:t>
      </w:r>
    </w:p>
    <w:p>
      <w:r>
        <w:t>一、考生要带齐“两证”，凭准考证、身份证，按规定时间和准考证上各科目的考场、座位号参加考试。每场考试时间较长，请考生务必吃好早餐、午餐，并提前到考点等候。</w:t>
      </w:r>
    </w:p>
    <w:p>
      <w:r>
        <w:t>二、知悉考试要求。美术与设计类：①每个科目空白答卷各1张，其中，素描科目答卷纸张类型为八开素描纸，色彩和速写（综合能力）科目答卷纸张类型均为八开水彩纸。</w:t>
      </w:r>
    </w:p>
    <w:p>
      <w:r>
        <w:t>②考生可以携带画板（夹）（不大于4开）、画架（不高于80厘米）、画笔、颜料、书写黑色字迹的钢笔或签字笔、铅笔、炭笔和橡皮等相关绘画用具以及座凳。考生携带的画板或画夹必须干净且无任何图案、图形等痕迹。速写（综合能力）、色彩科目考生可携带便携式电池小风扇。</w:t>
      </w:r>
    </w:p>
    <w:p>
      <w:r>
        <w:t>③不得携带色卡、任何书刊、报纸、稿纸、定形液、涂改液、各种无线通讯工具（如移动电话、无线耳机）、电子存储记忆录放设备和照相机，有图案的画板、纸张、资料等物品进入考场。色彩科目不得使用马克笔。</w:t>
      </w:r>
    </w:p>
    <w:p>
      <w:r>
        <w:t>书法类：①每个科目答卷共4张，其中2张为正稿（每题一张），2张为废卷，由考生根据作答情况自行确定。收卷前15分钟，监考员分发条形码，考生须在两张答卷正稿的“条形码粘贴处”粘贴条形码，在另外两张答卷的“条形码粘贴处”写上“作废”字样。</w:t>
      </w:r>
    </w:p>
    <w:p>
      <w:r>
        <w:t>②不得携带任何书刊、报纸、稿纸、资料、通讯工具（手机等）或有存储、查询功能的电子用品、照相机进入考场。只准带必需的文具，如黑色字迹钢笔、签字笔、毛笔、墨汁、画毡、墨碟、铅笔、炭笔等。</w:t>
      </w:r>
    </w:p>
    <w:p>
      <w:r>
        <w:t>表（导）演（戏剧影视导演方向）笔试科目：《叙事性作品写作》共两张答题卡，作答时按照答题卡纸张序号作答。考试开始15分钟后，考生不能再进入考点考试，迟到误考责任自负。考试结束前30分钟内，方可交卷离场。</w:t>
      </w:r>
    </w:p>
    <w:p>
      <w:r>
        <w:t>三、提高警惕，谨防上当。近年来，考生在复习备考阶段以及考试期间，社会上有极少数人利用考生及家长的迫切愿望和急切心理，故意编造和散布各种谣言误导考生，组织所谓艺术类专业省统考评委（专家）参与的模拟考试和模拟评卷（分）。部分考生因轻信了所谓的“考试妙招”“高分技巧”，如在美术与设计类或书法类考试中不按试题要求作画或书写（不按试题要求构图；作画内容增加、减少或改变等）。省教育考试院、市招考办提醒广大考生和家长：省教育考试院、市招考办从未委托任何单位和个人组织相关艺术类专业省统考的模拟考试或模拟评卷（分），同时按照有关规定，当年被选聘的评卷（分）老师也不能参加任何个人或者单位组织的艺术类模拟考试和模拟评卷（分）。广东省艺术类专业考试和评卷工作都是严格按照教育部和省有关规定规范进行，不存在任何所谓的“操作空间”。广大考生要严格按照考试要求诚信应考，明辨是非，不要信谣传谣，更不能心存侥幸，铤而走险。</w:t>
      </w:r>
    </w:p>
    <w:p>
      <w:r>
        <w:t>四、认准官方渠道。请考生和家长以广东省教育考试院、深圳招考网官网、官微发布的信息为准，切勿轻信各种虚假宣传，避免上当受骗。</w:t>
      </w:r>
    </w:p>
    <w:p>
      <w:r>
        <w:t>五、遵纪守规，诚信应考。艺术类省统考作为普通高等学校招生考试的录取依据之一，其考试成绩是高考成绩的重要组成部分，高考作弊后果极其严重，请广大考生遵守考场纪律，诚信应考，不得夹带，不要侥幸偷带手机等通讯设备入场，切莫因小失大，以身试法，贻误终身。对在考试过程中违纪作弊的行为，将依据《国家教育考试违规处理办法》（教育部令第33号）和《中华人民共和国教育法》《中华人民共和国刑法》《最高人民法院、最高人民检察院关于办理组织考试作弊等刑事案件适用法律若干问题的解释》（法释〔2019〕13号）严肃处理，对认定有作弊行为的考生，将依据相关违规处理规定取消其普通高考文化课和艺术类专业省统考成绩，情节严重的，将予以暂停普通高考或各种国家教育考试1至3年的处罚。涉嫌犯罪的，将移送司法机关处理。</w:t>
      </w:r>
    </w:p>
    <w:p>
      <w:r>
        <w:t>预祝广大考生在考试中发挥自己应有水平，取得理想的成绩！</w:t>
      </w:r>
    </w:p>
    <w:p>
      <w:r>
        <w:drawing>
          <wp:inline xmlns:a="http://schemas.openxmlformats.org/drawingml/2006/main" xmlns:pic="http://schemas.openxmlformats.org/drawingml/2006/picture">
            <wp:extent cx="6400800" cy="7151408"/>
            <wp:docPr id="1" name="Picture 1"/>
            <wp:cNvGraphicFramePr>
              <a:graphicFrameLocks noChangeAspect="1"/>
            </wp:cNvGraphicFramePr>
            <a:graphic>
              <a:graphicData uri="http://schemas.openxmlformats.org/drawingml/2006/picture">
                <pic:pic>
                  <pic:nvPicPr>
                    <pic:cNvPr id="0" name="89da7831dea1323ff317.png"/>
                    <pic:cNvPicPr/>
                  </pic:nvPicPr>
                  <pic:blipFill>
                    <a:blip r:embed="rId11"/>
                    <a:stretch>
                      <a:fillRect/>
                    </a:stretch>
                  </pic:blipFill>
                  <pic:spPr>
                    <a:xfrm>
                      <a:off x="0" y="0"/>
                      <a:ext cx="6400800" cy="7151408"/>
                    </a:xfrm>
                    <a:prstGeom prst="rect"/>
                  </pic:spPr>
                </pic:pic>
              </a:graphicData>
            </a:graphic>
          </wp:inline>
        </w:drawing>
      </w:r>
    </w:p>
    <w:p>
      <w:r>
        <w:drawing>
          <wp:inline xmlns:a="http://schemas.openxmlformats.org/drawingml/2006/main" xmlns:pic="http://schemas.openxmlformats.org/drawingml/2006/picture">
            <wp:extent cx="6400800" cy="7212168"/>
            <wp:docPr id="2" name="Picture 2"/>
            <wp:cNvGraphicFramePr>
              <a:graphicFrameLocks noChangeAspect="1"/>
            </wp:cNvGraphicFramePr>
            <a:graphic>
              <a:graphicData uri="http://schemas.openxmlformats.org/drawingml/2006/picture">
                <pic:pic>
                  <pic:nvPicPr>
                    <pic:cNvPr id="0" name="41d957365bb5c19e6965.png"/>
                    <pic:cNvPicPr/>
                  </pic:nvPicPr>
                  <pic:blipFill>
                    <a:blip r:embed="rId12"/>
                    <a:stretch>
                      <a:fillRect/>
                    </a:stretch>
                  </pic:blipFill>
                  <pic:spPr>
                    <a:xfrm>
                      <a:off x="0" y="0"/>
                      <a:ext cx="6400800" cy="721216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016438.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