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深圳市招生考试办公室关于做好广东省2022年第二次普通高中学业水平合格性考试成绩查询的通知</w:t>
      </w:r>
    </w:p>
    <w:p>
      <w:r>
        <w:rPr>
          <w:sz w:val="18"/>
        </w:rPr>
        <w:t>整理归属  深圳市招生考试办公室</w:t>
      </w:r>
    </w:p>
    <w:p>
      <w:r>
        <w:rPr>
          <w:sz w:val="18"/>
        </w:rPr>
        <w:t>发布日期  2022-08-31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https://szeb.sz.gov.cn/szzkw/zkgg/gkxx/content/post_10063153.html</w:t>
        </w:r>
      </w:hyperlink>
    </w:p>
    <w:p/>
    <w:p>
      <w:r>
        <w:t>各区（新区）教育行政部门，各高中学校：</w:t>
      </w:r>
    </w:p>
    <w:p>
      <w:r>
        <w:t>我省2022年第二次普通高中学业水平合格性考试（以下简称高中学考）评卷工作已全部完成，现将考生考试成绩公布有关事宜通知如下：</w:t>
      </w:r>
    </w:p>
    <w:p>
      <w:r>
        <w:t>一、成绩公布时间和方式</w:t>
      </w:r>
    </w:p>
    <w:p>
      <w:r>
        <w:t>省教育考试院将于2022年9月2日10:00起发布2022年第二次高中学考成绩，考生可通过广东省教育考试院官微（ID：gdsksy）小程序、百度智能小程序或通过“广东招考在线”小程序查询成绩。9月28日10:00起，考生可以通过省教育考试院官微小程序、百度智能小程序自行下载并打印2022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7日17:00前携带准考证,到所在学校（含社会报名点，下同）提出复查分数的书面申请，填写《2022年第二次广东省普通高中学业水平考试考生成绩复查申请登记表》（附件2)，逾期一律不再受理。考生由学校、报名点统一组织办理申请复查手续。复查内容为答题卡图像是否为申请人本人的答题卡，扫描是否准确,考生答题卡是否错评、漏评，各题得分是否错漏，卷面成绩统计合成是否有误，是否与向考生公布的成绩一致。</w:t>
      </w:r>
    </w:p>
    <w:p>
      <w:r>
        <w:t>（二）复查及结果告知。省教育考试院将组织专人复查。复查发现成绩有误的，将予以更正，并将通过考生报名绑定的手机号将更正后的成绩告知考生本人。复查成绩无误的，市招考办将考生名单电子文档反馈给各学校，由各学校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外省户籍考生在我省高中阶段学校读书期间参加我省组织的普通高中学业水平合格性考试所取得的成绩转出我省，将不再进行审核，不再出具“普通高中学业水平考试成绩证明书”。成绩转出我省的考生可凭普通高中学业水平合格性考试成绩证书（含电子版）将成绩转出我省，也可在广东省教育考试院网站首页“考试招生”条目进入“普通高中学业水平考试-考生成绩转出”（网址：http://www.eeagd.edu.cn/xyspzc），凭考生号和密码查询考试成绩。</w:t>
      </w:r>
    </w:p>
    <w:p>
      <w:r>
        <w:t>六、考生号或密码遗忘找回办法</w:t>
      </w:r>
    </w:p>
    <w:p>
      <w:r>
        <w:t>考生密码遗忘，可通过广东省普通高考/学考报名系统的考生端(https://pg.eeagd.edu.cn/ks）凭手机短信验证码进行密码重置；如需更改手机号码，可在报名系统中凭原手机号码获取验证码进行手机号码更改；如因手机号码已经注销或注册时填错手机号码等原因导致无法接收验证码，则需到报名点进行手机号码解绑和密码重置。</w:t>
      </w:r>
    </w:p>
    <w:p>
      <w:r>
        <w:t>附件：1.广东省2022年第二次普通高中学业水平考试成绩查询方式</w:t>
      </w:r>
    </w:p>
    <w:p>
      <w:r>
        <w:t>2.广东省2022年第二次普通高中学业水平考试考生成绩复查申请登记表</w:t>
      </w:r>
    </w:p>
    <w:p>
      <w:r>
        <w:t>附件1广东省2022年第二次普通高中学业水平合格性考试成绩查询方式</w:t>
      </w:r>
    </w:p>
    <w:p>
      <w:r>
        <w:t>一、官微小程序查询方式</w:t>
      </w:r>
    </w:p>
    <w:p>
      <w:r>
        <w:t>考生于9月2日10:00起，登录广东省教育考试院官方微信（ID：gdsksy），点击“小程序”，选择“考试成绩”查询成绩；9月28日10:00起，登录广东省教育考试院官方微信（ID：gdsksy），点击“小程序”，选择“证书打印”可下载、自行打印成绩证书。</w:t>
      </w:r>
    </w:p>
    <w:p>
      <w:r>
        <w:t>二、百度小程序查询方式</w:t>
      </w:r>
    </w:p>
    <w:p>
      <w:r>
        <w:t>考生于9月2日10:00起，通过百度App搜索“广东省教育考试院”，打开“广东省教育考试院—智能小程序”，点击“考试成绩”，输入考生号和密码登录查询成绩。9月28日10:00起，通过百度App打开“广东省教育考试院-智能小程序”，点击“证书打印”，通过考生号和密码登录，可下载成绩证书并自行打印。</w:t>
      </w:r>
    </w:p>
    <w:p>
      <w:r>
        <w:t>三、“广东招考在线”小程序查询方式</w:t>
      </w:r>
    </w:p>
    <w:p>
      <w:r>
        <w:t>考生于9月2日10:00起，通过微信搜索进入“广东招考在线”小程序，点击“成绩查询”，选择考生对应的考试类别，按指引查询考试成绩。</w:t>
      </w:r>
    </w:p>
    <w:p>
      <w:r>
        <w:drawing>
          <wp:inline xmlns:a="http://schemas.openxmlformats.org/drawingml/2006/main" xmlns:pic="http://schemas.openxmlformats.org/drawingml/2006/picture">
            <wp:extent cx="6400800" cy="5220677"/>
            <wp:docPr id="1" name="Picture 1"/>
            <wp:cNvGraphicFramePr>
              <a:graphicFrameLocks noChangeAspect="1"/>
            </wp:cNvGraphicFramePr>
            <a:graphic>
              <a:graphicData uri="http://schemas.openxmlformats.org/drawingml/2006/picture">
                <pic:pic>
                  <pic:nvPicPr>
                    <pic:cNvPr id="0" name="e4dbb5daff9d5305f858.png"/>
                    <pic:cNvPicPr/>
                  </pic:nvPicPr>
                  <pic:blipFill>
                    <a:blip r:embed="rId11"/>
                    <a:stretch>
                      <a:fillRect/>
                    </a:stretch>
                  </pic:blipFill>
                  <pic:spPr>
                    <a:xfrm>
                      <a:off x="0" y="0"/>
                      <a:ext cx="6400800" cy="5220677"/>
                    </a:xfrm>
                    <a:prstGeom prst="rect"/>
                  </pic:spPr>
                </pic:pic>
              </a:graphicData>
            </a:graphic>
          </wp:inline>
        </w:drawing>
      </w:r>
    </w:p>
    <w:p>
      <w:r>
        <w:t>附件2.docx</w:t>
      </w:r>
    </w:p>
    <w:p>
      <w:pPr>
        <w:pStyle w:val="Heading1"/>
      </w:pPr>
      <w:r>
        <w:t>附件及下载链接</w:t>
      </w:r>
    </w:p>
    <w:p>
      <w:hyperlink r:id="rId12">
        <w:r>
          <w:rPr>
            <w:color w:val="18548A"/>
          </w:rPr>
          <w:t>附件2.docx</w:t>
        </w:r>
      </w:hyperlink>
    </w:p>
    <w:p>
      <w:r>
        <w:rPr>
          <w:sz w:val="16"/>
        </w:rPr>
        <w:t>https://szeb.sz.gov.cn/attachment/1/1184/1184230/10063153.docx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063153.html" TargetMode="External"/><Relationship Id="rId11" Type="http://schemas.openxmlformats.org/officeDocument/2006/relationships/image" Target="media/image1.png"/><Relationship Id="rId12" Type="http://schemas.openxmlformats.org/officeDocument/2006/relationships/hyperlink" Target="https://szeb.sz.gov.cn/attachment/1/1184/1184230/1006315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