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深圳市举办2024年高中学校升学辅导员培训会</w:t>
      </w:r>
    </w:p>
    <w:p>
      <w:r>
        <w:rPr>
          <w:sz w:val="18"/>
        </w:rPr>
        <w:t>整理归属  深圳市招生考试办公室</w:t>
      </w:r>
    </w:p>
    <w:p>
      <w:r>
        <w:rPr>
          <w:sz w:val="18"/>
        </w:rPr>
        <w:t>发布日期  2024-04-26</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https://szeb.sz.gov.cn/szzkw/qt/sylb/content/post_11264036.html</w:t>
        </w:r>
      </w:hyperlink>
    </w:p>
    <w:p>
      <w:r>
        <w:t xml:space="preserve">同文来源  </w:t>
      </w:r>
      <w:hyperlink r:id="rId11">
        <w:r>
          <w:rPr>
            <w:color w:val="18548A"/>
          </w:rPr>
          <w:t>https://szeb.sz.gov.cn/szzkw/zkgg/gkxx/content/post_11264023.html</w:t>
        </w:r>
      </w:hyperlink>
    </w:p>
    <w:p/>
    <w:p>
      <w:r>
        <w:t>按照省教育考试院关于做好今年高考志愿填报指导服务工作的部署要求，为加强我市高中学校升学辅导员队伍建设，提高各学校高中毕业生生涯规划和志愿填报等考试升学指导工作的专业水平，指导考生做好职业规划，科学合理填报高考志愿，4月25日下午，市招考办在深圳大学举办了2024年全市高中学校升学辅导员培训会，全市各高中学校近400余人参加了本次培训会。</w:t>
      </w:r>
    </w:p>
    <w:p>
      <w:r>
        <w:t>市招考办主任肖伟峰主持会议并动员讲话，深圳大学副校长张晓红为会议致辞，会议还邀请省教育考试院专家对广东高考招生政策做详细解读，中国教育在线的专家们就高考改革的深化与完善、高中生涯规划指导等方面进行专题培训。</w:t>
      </w:r>
    </w:p>
    <w:p>
      <w:r>
        <w:t>2017年，教育部出台的普通高中课程方案中明确了高中教育的新定位，即“三适应一奠定”：促进学生适应社会生活，适应高等教育，适应未来职业，奠定每个学生的终身发展，文件还要求在高中阶段就要引导学生进行面向未来职业的规划。引导学生树立生涯意识，学会选择、发现优势、发展优势成为学生基础教育阶段的重要命题。因此，建立一支专业化的工作队伍，提升对学生生涯规划、升学等方面的指导能力尤为重要。会议强调，各区、各高中学校要把升学辅导作为本区、本校教育工作的重要组成部分。一方面，要全力做好宣传、指导和志愿填报组织工作，把填报志愿、投档原则、录取等各项政策规定、实施办法和注意事项，及时、准确、全面地传达给考生和家长，帮助和指导高三学生填好志愿、做好升学规划，切实为学生和家长排忧解难；另一方面，学校基于课程建设和教学方式的改革，改进与完善高中生涯规划教育，多措并举，积极协调配合，努力链接校内外的优质资源，包括专家资源、活动资源等，构建学生个性化发展指导体系，帮助学生由无意识的生涯发展转变为自觉主动的发展，由非理性的生涯发展转变为理性的发展，同时培养学生的生涯发展技能、幸福的技能，确保今年高考志愿填报各项工作扎实有序推进，提高学生、家长、社会对我们招考工作的满意度。</w:t>
      </w:r>
    </w:p>
    <w:p>
      <w:r>
        <w:drawing>
          <wp:inline xmlns:a="http://schemas.openxmlformats.org/drawingml/2006/main" xmlns:pic="http://schemas.openxmlformats.org/drawingml/2006/picture">
            <wp:extent cx="6400800" cy="2896362"/>
            <wp:docPr id="1" name="Picture 1"/>
            <wp:cNvGraphicFramePr>
              <a:graphicFrameLocks noChangeAspect="1"/>
            </wp:cNvGraphicFramePr>
            <a:graphic>
              <a:graphicData uri="http://schemas.openxmlformats.org/drawingml/2006/picture">
                <pic:pic>
                  <pic:nvPicPr>
                    <pic:cNvPr id="0" name="dc68634b6b4272020f89.png"/>
                    <pic:cNvPicPr/>
                  </pic:nvPicPr>
                  <pic:blipFill>
                    <a:blip r:embed="rId12"/>
                    <a:stretch>
                      <a:fillRect/>
                    </a:stretch>
                  </pic:blipFill>
                  <pic:spPr>
                    <a:xfrm>
                      <a:off x="0" y="0"/>
                      <a:ext cx="6400800" cy="2896362"/>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11264036.html" TargetMode="External"/><Relationship Id="rId11" Type="http://schemas.openxmlformats.org/officeDocument/2006/relationships/hyperlink" Target="https://szeb.sz.gov.cn/szzkw/zkgg/gkxx/content/post_11264023.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