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全国初试成绩基本要求分区是如何划定的？</w:t>
      </w:r>
    </w:p>
    <w:p>
      <w:r>
        <w:rPr>
          <w:sz w:val="18"/>
        </w:rPr>
        <w:t>整理归属  广东省教育考试院</w:t>
      </w:r>
    </w:p>
    <w:p>
      <w:r>
        <w:rPr>
          <w:sz w:val="18"/>
        </w:rPr>
        <w:t>发布日期  2025-10-20</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https://eea.gd.gov.cn/dawenku/qtwt/content/post_4786580.html</w:t>
        </w:r>
      </w:hyperlink>
    </w:p>
    <w:p/>
    <w:p>
      <w:r>
        <w:t>《2026年全国硕士研究生招生工作管理规定》中明确规定：教育部按照一区、二区制定并公布参加全国硕士研究生招生考试考生进入复试的初试成绩基本要求（以下简称国家分数线）。一区包括北京、天津、河北、山西、辽宁、吉林、黑龙江、上海、江苏、浙江、安徽、福建、江西、山东、河南、湖北、湖南、广东、重庆、四川、陕西等21省（市）；二区包括内蒙古、广西、海南、贵州、云南、西藏、甘肃、青海、宁夏、新疆等10省（区）。</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78658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