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关于公布广东省2023年高职院校五年一贯制单独招生考试全省统考录取最低分数线的通知</w:t>
      </w:r>
    </w:p>
    <w:p>
      <w:r>
        <w:rPr>
          <w:sz w:val="18"/>
        </w:rPr>
        <w:t>整理归属  广东省教育考试院</w:t>
      </w:r>
    </w:p>
    <w:p>
      <w:r>
        <w:rPr>
          <w:sz w:val="18"/>
        </w:rPr>
        <w:t>发布日期  2023-05-10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https://eea.gd.gov.cn/tzgg/content/post_4178646.html</w:t>
        </w:r>
      </w:hyperlink>
    </w:p>
    <w:p>
      <w:r>
        <w:t xml:space="preserve">同文来源  </w:t>
      </w:r>
      <w:hyperlink r:id="rId11">
        <w:r>
          <w:rPr>
            <w:color w:val="18548A"/>
          </w:rPr>
          <w:t>https://eea.gd.gov.cn/zzzk/content/post_4178653.html</w:t>
        </w:r>
      </w:hyperlink>
    </w:p>
    <w:p/>
    <w:p>
      <w:r>
        <w:t>各地级以上市招生委员会，有关高等院校：</w:t>
      </w:r>
    </w:p>
    <w:p>
      <w:r>
        <w:t>广东省2023年高职院校五年一贯制单独招生考试全省统考录取分数线按普通类、音乐类、美术类和体育类专业分别划定。经研究决定，广东省2023年高职院校五年一贯制单独招生考试全省统考录取最低分数线如下：</w:t>
      </w:r>
    </w:p>
    <w:p>
      <w:r>
        <w:t>一、普通类分数线 205分</w:t>
      </w:r>
    </w:p>
    <w:p>
      <w:r>
        <w:t>二、音乐类分数线 120分/术科合格</w:t>
      </w:r>
    </w:p>
    <w:p>
      <w:r>
        <w:t>三、美术类分数线 130分/术科合格</w:t>
      </w:r>
    </w:p>
    <w:p>
      <w:r>
        <w:t>四、体育类分数线 125分/术科合格</w:t>
      </w:r>
    </w:p>
    <w:p>
      <w:r>
        <w:t>广东省招生委员会办公室</w:t>
      </w:r>
    </w:p>
    <w:p>
      <w:r>
        <w:t>2023年5月10日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78646.html" TargetMode="External"/><Relationship Id="rId11" Type="http://schemas.openxmlformats.org/officeDocument/2006/relationships/hyperlink" Target="https://eea.gd.gov.cn/zzzk/content/post_41786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