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中职学校招生计划的信息内容包括哪些？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2023-02-28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https://eea.gd.gov.cn/dawenku/qtwt/content/post_4144059.html</w:t>
        </w:r>
      </w:hyperlink>
    </w:p>
    <w:p/>
    <w:p>
      <w:r>
        <w:t>中职学校招生计划的信息内容包括：分区域生源计划数（不细分到每个招生专业）、计划类别、学习形式、入学起点、学制、招生专业、校区或办学点，经各级物价部门批准的学费和住宿标准、备注（可说明特殊专业对学生身体条件的要求等）。在省中招服务平台操作时，计划信息的数据项均以下拉菜单的形式让学校自行选择。其中，中职和技工院校招生计划类别分为：全日制、工学结合全日制班、工学结合业余（非全日制）班；办学形式分为：学校自有校区办学、校外办学点；入学起点分为：初中起点（指应届初中毕业生、基本完成九年义务教育年限学生及其他具有初中同等学历的学生）和高中起点（指具有高中及同等学历的学生）；学制分为：招收高中起点的学制为一年或一年半、卫生类专业学制可为两年或三年；招收初中起点的学制为三年或以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1440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